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line="240" w:lineRule="auto"/>
        <w:jc w:val="center"/>
      </w:pPr>
      <w:r>
        <w:drawing>
          <wp:inline distT="0" distB="0" distL="0" distR="0">
            <wp:extent cx="3048000" cy="409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048000" cy="409575"/>
                    </a:xfrm>
                    <a:prstGeom prst="rect">
                      <a:avLst/>
                    </a:prstGeom>
                  </pic:spPr>
                </pic:pic>
              </a:graphicData>
            </a:graphic>
          </wp:inline>
        </w:drawing>
      </w:r>
    </w:p>
    <w:p>
      <w:pPr>
        <w:spacing w:after="160"/>
        <w:jc w:val="center"/>
      </w:pPr>
      <w:r>
        <w:rPr>
          <w:rFonts w:ascii="Times New Roman" w:cs="Times New Roman" w:eastAsia="Times New Roman" w:hAnsi="Times New Roman"/>
          <w:b/>
          <w:bCs/>
          <w:sz w:val="34"/>
          <w:szCs w:val="34"/>
        </w:rPr>
        <w:t xml:space="preserve">ENGR 255</w:t>
      </w:r>
    </w:p>
    <w:p>
      <w:pPr>
        <w:spacing w:after="100"/>
        <w:jc w:val="center"/>
      </w:pPr>
      <w:r>
        <w:rPr>
          <w:rFonts w:ascii="Times New Roman" w:cs="Times New Roman" w:eastAsia="Times New Roman" w:hAnsi="Times New Roman"/>
          <w:b/>
          <w:bCs/>
          <w:sz w:val="32"/>
          <w:szCs w:val="32"/>
        </w:rPr>
        <w:t xml:space="preserve">Physical Foundations of Digital Engineering</w:t>
      </w:r>
    </w:p>
    <w:p>
      <w:pPr>
        <w:spacing w:after="240"/>
        <w:jc w:val="center"/>
      </w:pPr>
      <w:r>
        <w:rPr>
          <w:rFonts w:ascii="Times New Roman" w:cs="Times New Roman" w:eastAsia="Times New Roman" w:hAnsi="Times New Roman"/>
          <w:sz w:val="22"/>
          <w:szCs w:val="22"/>
        </w:rPr>
        <w:t xml:space="preserve">Section 001 — Class # 4393 — Llab</w:t>
      </w:r>
    </w:p>
    <w:p>
      <w:pPr>
        <w:keepNext/>
        <w:spacing w:after="140" w:before="280" w:line="276"/>
      </w:pPr>
      <w:r>
        <w:rPr>
          <w:rFonts w:ascii="Times New Roman" w:cs="Times New Roman" w:eastAsia="Times New Roman" w:hAnsi="Times New Roman"/>
          <w:b/>
          <w:bCs/>
          <w:sz w:val="26"/>
          <w:szCs w:val="26"/>
        </w:rPr>
        <w:t xml:space="preserve">Faculty Info + Office Hours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none"/>
              <w:right w:val="none"/>
            </w:tcBorders>
            <w:tcMar>
              <w:top w:type="dxa" w:w="60"/>
              <w:left w:type="dxa" w:w="100"/>
              <w:bottom w:type="dxa" w:w="60"/>
              <w:right w:type="dxa" w:w="100"/>
            </w:tcMar>
            <w:vAlign w:val="top"/>
          </w:tcPr>
          <w:p>
            <w:pPr>
              <w:spacing w:after="60" w:before="0" w:line="276"/>
            </w:pPr>
            <w:r>
              <w:rPr>
                <w:rFonts w:ascii="Times New Roman" w:cs="Times New Roman" w:eastAsia="Times New Roman" w:hAnsi="Times New Roman"/>
                <w:b/>
                <w:bCs/>
                <w:sz w:val="22"/>
                <w:szCs w:val="22"/>
              </w:rPr>
              <w:t xml:space="preserve">Name: </w:t>
            </w:r>
            <w:r>
              <w:rPr>
                <w:rFonts w:ascii="Times New Roman" w:cs="Times New Roman" w:eastAsia="Times New Roman" w:hAnsi="Times New Roman"/>
                <w:sz w:val="22"/>
                <w:szCs w:val="22"/>
              </w:rPr>
              <w:t xml:space="preserve">Professor Yair Chaya</w:t>
            </w:r>
          </w:p>
          <w:p>
            <w:pPr>
              <w:spacing w:after="60" w:before="0" w:line="276"/>
            </w:pPr>
            <w:r>
              <w:rPr>
                <w:rFonts w:ascii="Times New Roman" w:cs="Times New Roman" w:eastAsia="Times New Roman" w:hAnsi="Times New Roman"/>
                <w:b/>
                <w:bCs/>
                <w:sz w:val="22"/>
                <w:szCs w:val="22"/>
              </w:rPr>
              <w:t xml:space="preserve">Email: </w:t>
            </w:r>
            <w:hyperlink w:history="1" r:id="rId9mkfskxdw_ax8qza7wdjw">
              <w:r>
                <w:rPr>
                  <w:rStyle w:val="Hyperlink"/>
                  <w:rFonts w:ascii="Times New Roman" w:cs="Times New Roman" w:eastAsia="Times New Roman" w:hAnsi="Times New Roman"/>
                  <w:color w:val="0563C1"/>
                  <w:sz w:val="22"/>
                  <w:szCs w:val="22"/>
                  <w:u w:val="single"/>
                </w:rPr>
                <w:t xml:space="preserve">yair.chaya@liu.edu</w:t>
              </w:r>
            </w:hyperlink>
          </w:p>
          <w:p>
            <w:pPr>
              <w:spacing w:after="0" w:before="0" w:line="276"/>
            </w:pPr>
            <w:r>
              <w:rPr>
                <w:rFonts w:ascii="Times New Roman" w:cs="Times New Roman" w:eastAsia="Times New Roman" w:hAnsi="Times New Roman"/>
                <w:b/>
                <w:bCs/>
                <w:sz w:val="22"/>
                <w:szCs w:val="22"/>
              </w:rPr>
              <w:t xml:space="preserve">Phone: </w:t>
            </w:r>
            <w:r>
              <w:rPr>
                <w:rFonts w:ascii="Times New Roman" w:cs="Times New Roman" w:eastAsia="Times New Roman" w:hAnsi="Times New Roman"/>
                <w:sz w:val="22"/>
                <w:szCs w:val="22"/>
              </w:rPr>
              <w:t xml:space="preserve">718-864-1753</w:t>
            </w:r>
          </w:p>
        </w:tc>
        <w:tc>
          <w:tcPr>
            <w:tcW w:type="dxa" w:w="4680"/>
            <w:tcBorders>
              <w:top w:val="none"/>
              <w:left w:val="none"/>
              <w:bottom w:val="none"/>
              <w:right w:val="none"/>
            </w:tcBorders>
            <w:tcMar>
              <w:top w:type="dxa" w:w="60"/>
              <w:left w:type="dxa" w:w="100"/>
              <w:bottom w:type="dxa" w:w="60"/>
              <w:right w:type="dxa" w:w="100"/>
            </w:tcMar>
            <w:vAlign w:val="top"/>
          </w:tcPr>
          <w:p>
            <w:pPr>
              <w:spacing w:after="60" w:before="0" w:line="276"/>
            </w:pPr>
            <w:r>
              <w:rPr>
                <w:rFonts w:ascii="Times New Roman" w:cs="Times New Roman" w:eastAsia="Times New Roman" w:hAnsi="Times New Roman"/>
                <w:b/>
                <w:bCs/>
                <w:sz w:val="22"/>
                <w:szCs w:val="22"/>
              </w:rPr>
              <w:t xml:space="preserve">Office Hours: </w:t>
            </w:r>
            <w:r>
              <w:rPr>
                <w:rFonts w:ascii="Times New Roman" w:cs="Times New Roman" w:eastAsia="Times New Roman" w:hAnsi="Times New Roman"/>
                <w:sz w:val="22"/>
                <w:szCs w:val="22"/>
              </w:rPr>
              <w:t xml:space="preserve">Virtual, by appointment. Email to schedule.</w:t>
            </w:r>
          </w:p>
          <w:p>
            <w:pPr>
              <w:spacing w:after="0" w:before="0" w:line="276"/>
            </w:pPr>
            <w:r>
              <w:rPr>
                <w:rFonts w:ascii="Times New Roman" w:cs="Times New Roman" w:eastAsia="Times New Roman" w:hAnsi="Times New Roman"/>
                <w:sz w:val="22"/>
                <w:szCs w:val="22"/>
              </w:rPr>
              <w:t xml:space="preserve">Preferred Method of Communication: Best reached by email. Expect a reply within 24 hours.</w:t>
            </w:r>
          </w:p>
        </w:tc>
      </w:tr>
    </w:tbl>
    <w:p>
      <w:pPr>
        <w:keepNext/>
        <w:spacing w:after="140" w:before="280" w:line="276"/>
      </w:pPr>
      <w:r>
        <w:rPr>
          <w:rFonts w:ascii="Times New Roman" w:cs="Times New Roman" w:eastAsia="Times New Roman" w:hAnsi="Times New Roman"/>
          <w:b/>
          <w:bCs/>
          <w:sz w:val="26"/>
          <w:szCs w:val="26"/>
        </w:rPr>
        <w:t xml:space="preserve">Prerequisite + Credits</w:t>
      </w:r>
    </w:p>
    <w:p>
      <w:pPr>
        <w:spacing w:after="40" w:before="0" w:line="276"/>
      </w:pPr>
      <w:r>
        <w:rPr>
          <w:rFonts w:ascii="Times New Roman" w:cs="Times New Roman" w:eastAsia="Times New Roman" w:hAnsi="Times New Roman"/>
          <w:sz w:val="22"/>
          <w:szCs w:val="22"/>
        </w:rPr>
        <w:t xml:space="preserve">Three credits.</w:t>
      </w:r>
    </w:p>
    <w:p>
      <w:pPr>
        <w:spacing w:after="40" w:before="0" w:line="276"/>
      </w:pPr>
      <w:r>
        <w:rPr>
          <w:rFonts w:ascii="Times New Roman" w:cs="Times New Roman" w:eastAsia="Times New Roman" w:hAnsi="Times New Roman"/>
          <w:sz w:val="22"/>
          <w:szCs w:val="22"/>
        </w:rPr>
        <w:t xml:space="preserve">Course-hours distribution: (3, 2, 2)</w:t>
      </w:r>
    </w:p>
    <w:p>
      <w:pPr>
        <w:spacing w:after="120" w:before="0" w:line="276"/>
      </w:pPr>
      <w:r>
        <w:rPr>
          <w:rFonts w:ascii="Times New Roman" w:cs="Times New Roman" w:eastAsia="Times New Roman" w:hAnsi="Times New Roman"/>
          <w:sz w:val="22"/>
          <w:szCs w:val="22"/>
        </w:rPr>
        <w:t xml:space="preserve">Prerequisites: College-level physics and mathematics through calculus, and programming proficiency in a language of the student’s choice, or permission of the instructor. See the current course bulletin for the official prerequisite listing.</w:t>
      </w:r>
    </w:p>
    <w:p>
      <w:pPr>
        <w:keepNext/>
        <w:spacing w:after="140" w:before="280" w:line="276"/>
      </w:pPr>
      <w:r>
        <w:rPr>
          <w:rFonts w:ascii="Times New Roman" w:cs="Times New Roman" w:eastAsia="Times New Roman" w:hAnsi="Times New Roman"/>
          <w:b/>
          <w:bCs/>
          <w:sz w:val="26"/>
          <w:szCs w:val="26"/>
        </w:rPr>
        <w:t xml:space="preserve">Dates + Time + Location + Format</w:t>
      </w:r>
    </w:p>
    <w:p>
      <w:pPr>
        <w:spacing w:after="40" w:before="0" w:line="276"/>
      </w:pPr>
      <w:r>
        <w:rPr>
          <w:rFonts w:ascii="Times New Roman" w:cs="Times New Roman" w:eastAsia="Times New Roman" w:hAnsi="Times New Roman"/>
          <w:b/>
          <w:bCs/>
          <w:sz w:val="22"/>
          <w:szCs w:val="22"/>
        </w:rPr>
        <w:t xml:space="preserve">Term: </w:t>
      </w:r>
      <w:r>
        <w:rPr>
          <w:rFonts w:ascii="Times New Roman" w:cs="Times New Roman" w:eastAsia="Times New Roman" w:hAnsi="Times New Roman"/>
          <w:sz w:val="22"/>
          <w:szCs w:val="22"/>
        </w:rPr>
        <w:t xml:space="preserve">09/02/2026 – 12/21/2026 (Fall 2026)</w:t>
      </w:r>
    </w:p>
    <w:p>
      <w:pPr>
        <w:spacing w:after="40" w:before="0" w:line="276"/>
      </w:pPr>
      <w:r>
        <w:rPr>
          <w:rFonts w:ascii="Times New Roman" w:cs="Times New Roman" w:eastAsia="Times New Roman" w:hAnsi="Times New Roman"/>
          <w:b/>
          <w:bCs/>
          <w:sz w:val="22"/>
          <w:szCs w:val="22"/>
        </w:rPr>
        <w:t xml:space="preserve">Meetings: </w:t>
      </w:r>
      <w:r>
        <w:rPr>
          <w:rFonts w:ascii="Times New Roman" w:cs="Times New Roman" w:eastAsia="Times New Roman" w:hAnsi="Times New Roman"/>
          <w:sz w:val="22"/>
          <w:szCs w:val="22"/>
        </w:rPr>
        <w:t xml:space="preserve">Monday &amp; Wednesday, 6:00 PM – 7:50 PM</w:t>
      </w:r>
    </w:p>
    <w:p>
      <w:pPr>
        <w:spacing w:after="40" w:before="0" w:line="276"/>
      </w:pPr>
      <w:r>
        <w:rPr>
          <w:rFonts w:ascii="Times New Roman" w:cs="Times New Roman" w:eastAsia="Times New Roman" w:hAnsi="Times New Roman"/>
          <w:b/>
          <w:bCs/>
          <w:sz w:val="22"/>
          <w:szCs w:val="22"/>
        </w:rPr>
        <w:t xml:space="preserve">Room of record: </w:t>
      </w:r>
      <w:r>
        <w:rPr>
          <w:rFonts w:ascii="Times New Roman" w:cs="Times New Roman" w:eastAsia="Times New Roman" w:hAnsi="Times New Roman"/>
          <w:sz w:val="22"/>
          <w:szCs w:val="22"/>
        </w:rPr>
        <w:t xml:space="preserve">Pratt 520 (course is delivered online; room is reserved and used only if an in-person session is announced)</w:t>
      </w:r>
    </w:p>
    <w:p>
      <w:pPr>
        <w:spacing w:after="120" w:before="0" w:line="276"/>
      </w:pPr>
      <w:r>
        <w:rPr>
          <w:rFonts w:ascii="Times New Roman" w:cs="Times New Roman" w:eastAsia="Times New Roman" w:hAnsi="Times New Roman"/>
          <w:b/>
          <w:bCs/>
          <w:sz w:val="22"/>
          <w:szCs w:val="22"/>
        </w:rPr>
        <w:t xml:space="preserve">Format: </w:t>
      </w:r>
      <w:r>
        <w:rPr>
          <w:rFonts w:ascii="Times New Roman" w:cs="Times New Roman" w:eastAsia="Times New Roman" w:hAnsi="Times New Roman"/>
          <w:sz w:val="22"/>
          <w:szCs w:val="22"/>
        </w:rPr>
        <w:t xml:space="preserve">Online instruction. All class sessions are synchronous and held live over Google Meet at the scheduled meeting times. Attendance at the live sessions is expected; sessions are working sessions in which project work is developed, demonstrated, and critiqued.</w:t>
      </w:r>
    </w:p>
    <w:p>
      <w:pPr>
        <w:spacing w:after="40" w:before="0" w:line="276"/>
      </w:pPr>
      <w:r>
        <w:rPr>
          <w:rFonts w:ascii="Times New Roman" w:cs="Times New Roman" w:eastAsia="Times New Roman" w:hAnsi="Times New Roman"/>
          <w:b/>
          <w:bCs/>
          <w:sz w:val="22"/>
          <w:szCs w:val="22"/>
        </w:rPr>
        <w:t xml:space="preserve">Google Meet link: </w:t>
      </w:r>
      <w:hyperlink w:history="1" r:id="rIdt5_9esplajh6bpvy2zu2o">
        <w:r>
          <w:rPr>
            <w:rStyle w:val="Hyperlink"/>
            <w:rFonts w:ascii="Times New Roman" w:cs="Times New Roman" w:eastAsia="Times New Roman" w:hAnsi="Times New Roman"/>
            <w:color w:val="0563C1"/>
            <w:sz w:val="22"/>
            <w:szCs w:val="22"/>
            <w:u w:val="single"/>
          </w:rPr>
          <w:t xml:space="preserve">https://meet.google.com/apd-eubc-upk</w:t>
        </w:r>
      </w:hyperlink>
    </w:p>
    <w:p>
      <w:pPr>
        <w:spacing w:after="40" w:before="0" w:line="276"/>
      </w:pPr>
      <w:r>
        <w:rPr>
          <w:rFonts w:ascii="Times New Roman" w:cs="Times New Roman" w:eastAsia="Times New Roman" w:hAnsi="Times New Roman"/>
          <w:b/>
          <w:bCs/>
          <w:sz w:val="22"/>
          <w:szCs w:val="22"/>
        </w:rPr>
        <w:t xml:space="preserve">Or dial in (US): </w:t>
      </w:r>
      <w:r>
        <w:rPr>
          <w:rFonts w:ascii="Times New Roman" w:cs="Times New Roman" w:eastAsia="Times New Roman" w:hAnsi="Times New Roman"/>
          <w:sz w:val="22"/>
          <w:szCs w:val="22"/>
        </w:rPr>
        <w:t xml:space="preserve">+1 631-769-5311  —  PIN: 233 399 950#</w:t>
      </w:r>
    </w:p>
    <w:p>
      <w:pPr>
        <w:spacing w:after="120" w:before="0" w:line="276"/>
      </w:pPr>
      <w:r>
        <w:rPr>
          <w:rFonts w:ascii="Times New Roman" w:cs="Times New Roman" w:eastAsia="Times New Roman" w:hAnsi="Times New Roman"/>
          <w:b/>
          <w:bCs/>
          <w:sz w:val="22"/>
          <w:szCs w:val="22"/>
        </w:rPr>
        <w:t xml:space="preserve">More phone numbers: </w:t>
      </w:r>
      <w:hyperlink w:history="1" r:id="rIdidorf7h4l6ge1t3b-00p-">
        <w:r>
          <w:rPr>
            <w:rStyle w:val="Hyperlink"/>
            <w:rFonts w:ascii="Times New Roman" w:cs="Times New Roman" w:eastAsia="Times New Roman" w:hAnsi="Times New Roman"/>
            <w:color w:val="0563C1"/>
            <w:sz w:val="22"/>
            <w:szCs w:val="22"/>
            <w:u w:val="single"/>
          </w:rPr>
          <w:t xml:space="preserve">https://tel.meet/apd-eubc-upk?pin=4480465109182</w:t>
        </w:r>
      </w:hyperlink>
    </w:p>
    <w:p>
      <w:pPr>
        <w:spacing w:after="40" w:before="0" w:line="276"/>
      </w:pPr>
      <w:r>
        <w:rPr>
          <w:rFonts w:ascii="Times New Roman" w:cs="Times New Roman" w:eastAsia="Times New Roman" w:hAnsi="Times New Roman"/>
          <w:b/>
          <w:bCs/>
          <w:sz w:val="22"/>
          <w:szCs w:val="22"/>
        </w:rPr>
        <w:t xml:space="preserve">Course repository (notes and materials): </w:t>
      </w:r>
      <w:r>
        <w:rPr>
          <w:rFonts w:ascii="Times New Roman" w:cs="Times New Roman" w:eastAsia="Times New Roman" w:hAnsi="Times New Roman"/>
          <w:color w:val="808080"/>
          <w:sz w:val="22"/>
          <w:szCs w:val="22"/>
        </w:rPr>
        <w:t xml:space="preserve">_______________________________________________</w:t>
      </w:r>
    </w:p>
    <w:p>
      <w:pPr>
        <w:spacing w:after="120" w:before="0" w:line="276"/>
      </w:pPr>
      <w:r>
        <w:rPr>
          <w:rFonts w:ascii="Times New Roman" w:cs="Times New Roman" w:eastAsia="Times New Roman" w:hAnsi="Times New Roman"/>
          <w:b/>
          <w:bCs/>
          <w:sz w:val="22"/>
          <w:szCs w:val="22"/>
        </w:rPr>
        <w:t xml:space="preserve">Course LMS (Brightspace): </w:t>
      </w:r>
      <w:hyperlink w:history="1" r:id="rIdaebwmfe6kgn0jsmequgky">
        <w:r>
          <w:rPr>
            <w:rStyle w:val="Hyperlink"/>
            <w:rFonts w:ascii="Times New Roman" w:cs="Times New Roman" w:eastAsia="Times New Roman" w:hAnsi="Times New Roman"/>
            <w:color w:val="0563C1"/>
            <w:sz w:val="22"/>
            <w:szCs w:val="22"/>
            <w:u w:val="single"/>
          </w:rPr>
          <w:t xml:space="preserve">https://lms.liu.edu</w:t>
        </w:r>
      </w:hyperlink>
      <w:r>
        <w:rPr>
          <w:rFonts w:ascii="Times New Roman" w:cs="Times New Roman" w:eastAsia="Times New Roman" w:hAnsi="Times New Roman"/>
          <w:sz w:val="22"/>
          <w:szCs w:val="22"/>
        </w:rPr>
        <w:t xml:space="preserve"> — used for announcements, assignment submission, and grades.</w:t>
      </w:r>
    </w:p>
    <w:p>
      <w:pPr>
        <w:keepNext/>
        <w:spacing w:after="140" w:before="280" w:line="276"/>
      </w:pPr>
      <w:r>
        <w:rPr>
          <w:rFonts w:ascii="Times New Roman" w:cs="Times New Roman" w:eastAsia="Times New Roman" w:hAnsi="Times New Roman"/>
          <w:b/>
          <w:bCs/>
          <w:sz w:val="26"/>
          <w:szCs w:val="26"/>
        </w:rPr>
        <w:t xml:space="preserve">Required Course Materials/Textbook</w:t>
      </w:r>
    </w:p>
    <w:p>
      <w:pPr>
        <w:pStyle w:val="ListParagraph"/>
        <w:numPr>
          <w:ilvl w:val="0"/>
          <w:numId w:val="1"/>
        </w:numPr>
        <w:spacing w:after="80" w:line="276"/>
      </w:pPr>
      <w:r>
        <w:rPr>
          <w:rFonts w:ascii="Times New Roman" w:cs="Times New Roman" w:eastAsia="Times New Roman" w:hAnsi="Times New Roman"/>
          <w:sz w:val="22"/>
          <w:szCs w:val="22"/>
        </w:rPr>
        <w:t xml:space="preserve">There is no required textbook and no textbook purchase is necessary for this course.</w:t>
      </w:r>
    </w:p>
    <w:p>
      <w:pPr>
        <w:pStyle w:val="ListParagraph"/>
        <w:numPr>
          <w:ilvl w:val="0"/>
          <w:numId w:val="1"/>
        </w:numPr>
        <w:spacing w:after="80" w:line="276"/>
      </w:pPr>
      <w:r>
        <w:rPr>
          <w:rFonts w:ascii="Times New Roman" w:cs="Times New Roman" w:eastAsia="Times New Roman" w:hAnsi="Times New Roman"/>
          <w:sz w:val="22"/>
          <w:szCs w:val="22"/>
        </w:rPr>
        <w:t xml:space="preserve">All lecture notes, worked examples, code, and project specifications are written by the instructor and distributed through the course GitHub repository (with a Google Doc mirror where useful). Materials are posted before the session in which they are used and remain available for the full term.</w:t>
      </w:r>
    </w:p>
    <w:p>
      <w:pPr>
        <w:keepNext/>
        <w:spacing w:after="100" w:before="200" w:line="276"/>
      </w:pPr>
      <w:r>
        <w:rPr>
          <w:rFonts w:ascii="Times New Roman" w:cs="Times New Roman" w:eastAsia="Times New Roman" w:hAnsi="Times New Roman"/>
          <w:b/>
          <w:bCs/>
          <w:sz w:val="23"/>
          <w:szCs w:val="23"/>
        </w:rPr>
        <w:t xml:space="preserve">Recommended Additional Course Materials/References</w:t>
      </w:r>
    </w:p>
    <w:p>
      <w:pPr>
        <w:pStyle w:val="ListParagraph"/>
        <w:numPr>
          <w:ilvl w:val="0"/>
          <w:numId w:val="1"/>
        </w:numPr>
        <w:spacing w:after="80" w:line="276"/>
      </w:pPr>
      <w:r>
        <w:rPr>
          <w:rFonts w:ascii="Times New Roman" w:cs="Times New Roman" w:eastAsia="Times New Roman" w:hAnsi="Times New Roman"/>
          <w:sz w:val="22"/>
          <w:szCs w:val="22"/>
        </w:rPr>
        <w:t xml:space="preserve">Optional supplementary readings — all freely available online — are linked from the course repository, week by week. None are required.</w:t>
      </w:r>
    </w:p>
    <w:p>
      <w:pPr>
        <w:keepNext/>
        <w:spacing w:after="100" w:before="200" w:line="276"/>
      </w:pPr>
      <w:r>
        <w:rPr>
          <w:rFonts w:ascii="Times New Roman" w:cs="Times New Roman" w:eastAsia="Times New Roman" w:hAnsi="Times New Roman"/>
          <w:b/>
          <w:bCs/>
          <w:sz w:val="23"/>
          <w:szCs w:val="23"/>
        </w:rPr>
        <w:t xml:space="preserve">Software, Tools, Development Environments</w:t>
      </w:r>
    </w:p>
    <w:p>
      <w:pPr>
        <w:pStyle w:val="ListParagraph"/>
        <w:numPr>
          <w:ilvl w:val="0"/>
          <w:numId w:val="1"/>
        </w:numPr>
        <w:spacing w:after="80" w:line="276"/>
      </w:pPr>
      <w:r>
        <w:rPr>
          <w:rFonts w:ascii="Times New Roman" w:cs="Times New Roman" w:eastAsia="Times New Roman" w:hAnsi="Times New Roman"/>
          <w:sz w:val="22"/>
          <w:szCs w:val="22"/>
        </w:rPr>
        <w:t xml:space="preserve">Python 3.11 or later with NumPy, SciPy, and Matplotlib (for modeling and analysis)</w:t>
      </w:r>
    </w:p>
    <w:p>
      <w:pPr>
        <w:pStyle w:val="ListParagraph"/>
        <w:numPr>
          <w:ilvl w:val="0"/>
          <w:numId w:val="1"/>
        </w:numPr>
        <w:spacing w:after="80" w:line="276"/>
      </w:pPr>
      <w:r>
        <w:rPr>
          <w:rFonts w:ascii="Times New Roman" w:cs="Times New Roman" w:eastAsia="Times New Roman" w:hAnsi="Times New Roman"/>
          <w:sz w:val="22"/>
          <w:szCs w:val="22"/>
        </w:rPr>
        <w:t xml:space="preserve">ngspice or LTspice (circuit simulation)</w:t>
      </w:r>
    </w:p>
    <w:p>
      <w:pPr>
        <w:pStyle w:val="ListParagraph"/>
        <w:numPr>
          <w:ilvl w:val="0"/>
          <w:numId w:val="1"/>
        </w:numPr>
        <w:spacing w:after="80" w:line="276"/>
      </w:pPr>
      <w:r>
        <w:rPr>
          <w:rFonts w:ascii="Times New Roman" w:cs="Times New Roman" w:eastAsia="Times New Roman" w:hAnsi="Times New Roman"/>
          <w:sz w:val="22"/>
          <w:szCs w:val="22"/>
        </w:rPr>
        <w:t xml:space="preserve">Logisim Evolution (logic-level design and exploration)</w:t>
      </w:r>
    </w:p>
    <w:p>
      <w:pPr>
        <w:pStyle w:val="ListParagraph"/>
        <w:numPr>
          <w:ilvl w:val="0"/>
          <w:numId w:val="1"/>
        </w:numPr>
        <w:spacing w:after="80" w:line="276"/>
      </w:pPr>
      <w:r>
        <w:rPr>
          <w:rFonts w:ascii="Times New Roman" w:cs="Times New Roman" w:eastAsia="Times New Roman" w:hAnsi="Times New Roman"/>
          <w:sz w:val="22"/>
          <w:szCs w:val="22"/>
        </w:rPr>
        <w:t xml:space="preserve">Git and a personal GitHub account</w:t>
      </w:r>
    </w:p>
    <w:p>
      <w:pPr>
        <w:pStyle w:val="ListParagraph"/>
        <w:numPr>
          <w:ilvl w:val="0"/>
          <w:numId w:val="1"/>
        </w:numPr>
        <w:spacing w:after="80" w:line="276"/>
      </w:pPr>
      <w:r>
        <w:rPr>
          <w:rFonts w:ascii="Times New Roman" w:cs="Times New Roman" w:eastAsia="Times New Roman" w:hAnsi="Times New Roman"/>
          <w:sz w:val="22"/>
          <w:szCs w:val="22"/>
        </w:rPr>
        <w:t xml:space="preserve">Google Meet, for all synchronous class sessions</w:t>
      </w:r>
    </w:p>
    <w:p>
      <w:pPr>
        <w:spacing w:after="120" w:before="80" w:line="276"/>
      </w:pPr>
      <w:r>
        <w:rPr>
          <w:rFonts w:ascii="Times New Roman" w:cs="Times New Roman" w:eastAsia="Times New Roman" w:hAnsi="Times New Roman"/>
          <w:sz w:val="22"/>
          <w:szCs w:val="22"/>
        </w:rPr>
        <w:t xml:space="preserve">All required software is free or available at no cost to students. Setup instructions are posted in the course repository and Week 1 includes a guided setup session.</w:t>
      </w:r>
    </w:p>
    <w:p>
      <w:pPr>
        <w:keepNext/>
        <w:spacing w:after="140" w:before="280" w:line="276"/>
      </w:pPr>
      <w:r>
        <w:rPr>
          <w:rFonts w:ascii="Times New Roman" w:cs="Times New Roman" w:eastAsia="Times New Roman" w:hAnsi="Times New Roman"/>
          <w:b/>
          <w:bCs/>
          <w:sz w:val="26"/>
          <w:szCs w:val="26"/>
        </w:rPr>
        <w:t xml:space="preserve">Course Description</w:t>
      </w:r>
    </w:p>
    <w:p>
      <w:pPr>
        <w:spacing w:after="120" w:before="0" w:line="276"/>
      </w:pPr>
      <w:r>
        <w:rPr>
          <w:rFonts w:ascii="Times New Roman" w:cs="Times New Roman" w:eastAsia="Times New Roman" w:hAnsi="Times New Roman"/>
          <w:sz w:val="22"/>
          <w:szCs w:val="22"/>
        </w:rPr>
        <w:t xml:space="preserve">This course addresses the basic principles governing the physical realization of computing systems and their relationship to characteristics such as performance, energy, and robustness. Computing concepts and implementation technologies are explored at different levels of abstraction, beginning with the question of what it physically takes to represent and reliably change a single bit and building up through CMOS devices, interconnect, and timing to complete digital systems. The physical limits of CMOS are examined, and the concepts of analog, quantum, and biological computing are introduced and illustrated. The treatment is practical and model-driven: students build and validate computational models of the devices and circuits under study rather than working from closed-form derivations alone.</w:t>
      </w:r>
    </w:p>
    <w:p>
      <w:pPr>
        <w:keepNext/>
        <w:spacing w:after="140" w:before="280" w:line="276"/>
      </w:pPr>
      <w:r>
        <w:rPr>
          <w:rFonts w:ascii="Times New Roman" w:cs="Times New Roman" w:eastAsia="Times New Roman" w:hAnsi="Times New Roman"/>
          <w:b/>
          <w:bCs/>
          <w:sz w:val="26"/>
          <w:szCs w:val="26"/>
        </w:rPr>
        <w:t xml:space="preserve">Course Objectives</w:t>
      </w:r>
    </w:p>
    <w:p>
      <w:pPr>
        <w:spacing w:after="100"/>
      </w:pPr>
      <w:r>
        <w:rPr>
          <w:rFonts w:ascii="Times New Roman" w:cs="Times New Roman" w:eastAsia="Times New Roman" w:hAnsi="Times New Roman"/>
          <w:sz w:val="22"/>
          <w:szCs w:val="22"/>
          <w:u w:val="single"/>
        </w:rPr>
        <w:t xml:space="preserve">Topics include:</w:t>
      </w:r>
    </w:p>
    <w:p>
      <w:pPr>
        <w:pStyle w:val="ListParagraph"/>
        <w:numPr>
          <w:ilvl w:val="0"/>
          <w:numId w:val="1"/>
        </w:numPr>
        <w:spacing w:after="80" w:line="276"/>
      </w:pPr>
      <w:r>
        <w:rPr>
          <w:rFonts w:ascii="Times New Roman" w:cs="Times New Roman" w:eastAsia="Times New Roman" w:hAnsi="Times New Roman"/>
          <w:sz w:val="22"/>
          <w:szCs w:val="22"/>
        </w:rPr>
        <w:t xml:space="preserve">From physics to computation</w:t>
      </w:r>
    </w:p>
    <w:p>
      <w:pPr>
        <w:spacing w:after="60" w:line="276"/>
        <w:ind w:left="1512"/>
      </w:pPr>
      <w:r>
        <w:rPr>
          <w:rFonts w:ascii="Times New Roman" w:cs="Times New Roman" w:eastAsia="Times New Roman" w:hAnsi="Times New Roman"/>
          <w:sz w:val="22"/>
          <w:szCs w:val="22"/>
        </w:rPr>
        <w:t xml:space="preserve">a. The digital abstraction and where it comes from</w:t>
      </w:r>
    </w:p>
    <w:p>
      <w:pPr>
        <w:spacing w:after="60" w:line="276"/>
        <w:ind w:left="1512"/>
      </w:pPr>
      <w:r>
        <w:rPr>
          <w:rFonts w:ascii="Times New Roman" w:cs="Times New Roman" w:eastAsia="Times New Roman" w:hAnsi="Times New Roman"/>
          <w:sz w:val="22"/>
          <w:szCs w:val="22"/>
        </w:rPr>
        <w:t xml:space="preserve">b. Introduction to a digital information processing system</w:t>
      </w:r>
    </w:p>
    <w:p>
      <w:pPr>
        <w:pStyle w:val="ListParagraph"/>
        <w:numPr>
          <w:ilvl w:val="0"/>
          <w:numId w:val="1"/>
        </w:numPr>
        <w:spacing w:after="80" w:line="276"/>
      </w:pPr>
      <w:r>
        <w:rPr>
          <w:rFonts w:ascii="Times New Roman" w:cs="Times New Roman" w:eastAsia="Times New Roman" w:hAnsi="Times New Roman"/>
          <w:sz w:val="22"/>
          <w:szCs w:val="22"/>
        </w:rPr>
        <w:t xml:space="preserve">Fundamental principles and requirements of representations of a bit</w:t>
      </w:r>
    </w:p>
    <w:p>
      <w:pPr>
        <w:spacing w:after="60" w:line="276"/>
        <w:ind w:left="1512"/>
      </w:pPr>
      <w:r>
        <w:rPr>
          <w:rFonts w:ascii="Times New Roman" w:cs="Times New Roman" w:eastAsia="Times New Roman" w:hAnsi="Times New Roman"/>
          <w:sz w:val="22"/>
          <w:szCs w:val="22"/>
        </w:rPr>
        <w:t xml:space="preserve">a. Distinguishability and conditional change of states</w:t>
      </w:r>
    </w:p>
    <w:p>
      <w:pPr>
        <w:spacing w:after="60" w:line="276"/>
        <w:ind w:left="1512"/>
      </w:pPr>
      <w:r>
        <w:rPr>
          <w:rFonts w:ascii="Times New Roman" w:cs="Times New Roman" w:eastAsia="Times New Roman" w:hAnsi="Times New Roman"/>
          <w:sz w:val="22"/>
          <w:szCs w:val="22"/>
        </w:rPr>
        <w:t xml:space="preserve">b. Physical implementation of a bit — the barrier model and other models</w:t>
      </w:r>
    </w:p>
    <w:p>
      <w:pPr>
        <w:spacing w:after="60" w:line="276"/>
        <w:ind w:left="1512"/>
      </w:pPr>
      <w:r>
        <w:rPr>
          <w:rFonts w:ascii="Times New Roman" w:cs="Times New Roman" w:eastAsia="Times New Roman" w:hAnsi="Times New Roman"/>
          <w:sz w:val="22"/>
          <w:szCs w:val="22"/>
        </w:rPr>
        <w:t xml:space="preserve">c. Energy, noise, and the cost of reliability</w:t>
      </w:r>
    </w:p>
    <w:p>
      <w:pPr>
        <w:pStyle w:val="ListParagraph"/>
        <w:numPr>
          <w:ilvl w:val="0"/>
          <w:numId w:val="1"/>
        </w:numPr>
        <w:spacing w:after="80" w:line="276"/>
      </w:pPr>
      <w:r>
        <w:rPr>
          <w:rFonts w:ascii="Times New Roman" w:cs="Times New Roman" w:eastAsia="Times New Roman" w:hAnsi="Times New Roman"/>
          <w:sz w:val="22"/>
          <w:szCs w:val="22"/>
        </w:rPr>
        <w:t xml:space="preserve">Physics of CMOS-based computation</w:t>
      </w:r>
    </w:p>
    <w:p>
      <w:pPr>
        <w:spacing w:after="60" w:line="276"/>
        <w:ind w:left="1512"/>
      </w:pPr>
      <w:r>
        <w:rPr>
          <w:rFonts w:ascii="Times New Roman" w:cs="Times New Roman" w:eastAsia="Times New Roman" w:hAnsi="Times New Roman"/>
          <w:sz w:val="22"/>
          <w:szCs w:val="22"/>
        </w:rPr>
        <w:t xml:space="preserve">a. Use of an energy barrier to represent and modulate a bit</w:t>
      </w:r>
    </w:p>
    <w:p>
      <w:pPr>
        <w:spacing w:after="60" w:line="276"/>
        <w:ind w:left="1512"/>
      </w:pPr>
      <w:r>
        <w:rPr>
          <w:rFonts w:ascii="Times New Roman" w:cs="Times New Roman" w:eastAsia="Times New Roman" w:hAnsi="Times New Roman"/>
          <w:sz w:val="22"/>
          <w:szCs w:val="22"/>
        </w:rPr>
        <w:t xml:space="preserve">b. Relation to semiconductor physics</w:t>
      </w:r>
    </w:p>
    <w:p>
      <w:pPr>
        <w:spacing w:after="60" w:line="276"/>
        <w:ind w:left="1512"/>
      </w:pPr>
      <w:r>
        <w:rPr>
          <w:rFonts w:ascii="Times New Roman" w:cs="Times New Roman" w:eastAsia="Times New Roman" w:hAnsi="Times New Roman"/>
          <w:sz w:val="22"/>
          <w:szCs w:val="22"/>
        </w:rPr>
        <w:t xml:space="preserve">c. Engineering an energy barrier in practice</w:t>
      </w:r>
    </w:p>
    <w:p>
      <w:pPr>
        <w:spacing w:after="60" w:line="276"/>
        <w:ind w:left="1512"/>
      </w:pPr>
      <w:r>
        <w:rPr>
          <w:rFonts w:ascii="Times New Roman" w:cs="Times New Roman" w:eastAsia="Times New Roman" w:hAnsi="Times New Roman"/>
          <w:sz w:val="22"/>
          <w:szCs w:val="22"/>
        </w:rPr>
        <w:t xml:space="preserve">d. MOSFET and device physics</w:t>
      </w:r>
    </w:p>
    <w:p>
      <w:pPr>
        <w:spacing w:after="60" w:line="276"/>
        <w:ind w:left="1512"/>
      </w:pPr>
      <w:r>
        <w:rPr>
          <w:rFonts w:ascii="Times New Roman" w:cs="Times New Roman" w:eastAsia="Times New Roman" w:hAnsi="Times New Roman"/>
          <w:sz w:val="22"/>
          <w:szCs w:val="22"/>
        </w:rPr>
        <w:t xml:space="preserve">e. Switches as computing devices</w:t>
      </w:r>
    </w:p>
    <w:p>
      <w:pPr>
        <w:spacing w:after="60" w:line="276"/>
        <w:ind w:left="1512"/>
      </w:pPr>
      <w:r>
        <w:rPr>
          <w:rFonts w:ascii="Times New Roman" w:cs="Times New Roman" w:eastAsia="Times New Roman" w:hAnsi="Times New Roman"/>
          <w:sz w:val="22"/>
          <w:szCs w:val="22"/>
        </w:rPr>
        <w:t xml:space="preserve">f. Physics of interconnected switches to process information</w:t>
      </w:r>
    </w:p>
    <w:p>
      <w:pPr>
        <w:spacing w:after="60" w:line="276"/>
        <w:ind w:left="1512"/>
      </w:pPr>
      <w:r>
        <w:rPr>
          <w:rFonts w:ascii="Times New Roman" w:cs="Times New Roman" w:eastAsia="Times New Roman" w:hAnsi="Times New Roman"/>
          <w:sz w:val="22"/>
          <w:szCs w:val="22"/>
        </w:rPr>
        <w:t xml:space="preserve">g. Relationship to RC circuit analysis</w:t>
      </w:r>
    </w:p>
    <w:p>
      <w:pPr>
        <w:spacing w:after="60" w:line="276"/>
        <w:ind w:left="1512"/>
      </w:pPr>
      <w:r>
        <w:rPr>
          <w:rFonts w:ascii="Times New Roman" w:cs="Times New Roman" w:eastAsia="Times New Roman" w:hAnsi="Times New Roman"/>
          <w:sz w:val="22"/>
          <w:szCs w:val="22"/>
        </w:rPr>
        <w:t xml:space="preserve">h. Physics of data communication via signal propagation through wire</w:t>
      </w:r>
    </w:p>
    <w:p>
      <w:pPr>
        <w:pStyle w:val="ListParagraph"/>
        <w:numPr>
          <w:ilvl w:val="0"/>
          <w:numId w:val="1"/>
        </w:numPr>
        <w:spacing w:after="80" w:line="276"/>
      </w:pPr>
      <w:r>
        <w:rPr>
          <w:rFonts w:ascii="Times New Roman" w:cs="Times New Roman" w:eastAsia="Times New Roman" w:hAnsi="Times New Roman"/>
          <w:sz w:val="22"/>
          <w:szCs w:val="22"/>
        </w:rPr>
        <w:t xml:space="preserve">Physical attributes of a computing system</w:t>
      </w:r>
    </w:p>
    <w:p>
      <w:pPr>
        <w:spacing w:after="60" w:line="276"/>
        <w:ind w:left="1512"/>
      </w:pPr>
      <w:r>
        <w:rPr>
          <w:rFonts w:ascii="Times New Roman" w:cs="Times New Roman" w:eastAsia="Times New Roman" w:hAnsi="Times New Roman"/>
          <w:sz w:val="22"/>
          <w:szCs w:val="22"/>
        </w:rPr>
        <w:t xml:space="preserve">a. Performance, energy, and robustness/error</w:t>
      </w:r>
    </w:p>
    <w:p>
      <w:pPr>
        <w:spacing w:after="60" w:line="276"/>
        <w:ind w:left="1512"/>
      </w:pPr>
      <w:r>
        <w:rPr>
          <w:rFonts w:ascii="Times New Roman" w:cs="Times New Roman" w:eastAsia="Times New Roman" w:hAnsi="Times New Roman"/>
          <w:sz w:val="22"/>
          <w:szCs w:val="22"/>
        </w:rPr>
        <w:t xml:space="preserve">b. Relation to semiconductor physics, circuit theory, and wires</w:t>
      </w:r>
    </w:p>
    <w:p>
      <w:pPr>
        <w:spacing w:after="60" w:line="276"/>
        <w:ind w:left="1512"/>
      </w:pPr>
      <w:r>
        <w:rPr>
          <w:rFonts w:ascii="Times New Roman" w:cs="Times New Roman" w:eastAsia="Times New Roman" w:hAnsi="Times New Roman"/>
          <w:sz w:val="22"/>
          <w:szCs w:val="22"/>
        </w:rPr>
        <w:t xml:space="preserve">c. Interaction of performance, energy, and robustness</w:t>
      </w:r>
    </w:p>
    <w:p>
      <w:pPr>
        <w:spacing w:after="60" w:line="276"/>
        <w:ind w:left="1512"/>
      </w:pPr>
      <w:r>
        <w:rPr>
          <w:rFonts w:ascii="Times New Roman" w:cs="Times New Roman" w:eastAsia="Times New Roman" w:hAnsi="Times New Roman"/>
          <w:sz w:val="22"/>
          <w:szCs w:val="22"/>
        </w:rPr>
        <w:t xml:space="preserve">d. Understanding the physical limits of CMOS circuits</w:t>
      </w:r>
    </w:p>
    <w:p>
      <w:pPr>
        <w:spacing w:after="60" w:line="276"/>
        <w:ind w:left="1512"/>
      </w:pPr>
      <w:r>
        <w:rPr>
          <w:rFonts w:ascii="Times New Roman" w:cs="Times New Roman" w:eastAsia="Times New Roman" w:hAnsi="Times New Roman"/>
          <w:sz w:val="22"/>
          <w:szCs w:val="22"/>
        </w:rPr>
        <w:t xml:space="preserve">e. Fundamentals of CMOS-based analog computing</w:t>
      </w:r>
    </w:p>
    <w:p>
      <w:pPr>
        <w:pStyle w:val="ListParagraph"/>
        <w:numPr>
          <w:ilvl w:val="0"/>
          <w:numId w:val="1"/>
        </w:numPr>
        <w:spacing w:after="80" w:line="276"/>
      </w:pPr>
      <w:r>
        <w:rPr>
          <w:rFonts w:ascii="Times New Roman" w:cs="Times New Roman" w:eastAsia="Times New Roman" w:hAnsi="Times New Roman"/>
          <w:sz w:val="22"/>
          <w:szCs w:val="22"/>
        </w:rPr>
        <w:t xml:space="preserve">Alternative computing models</w:t>
      </w:r>
    </w:p>
    <w:p>
      <w:pPr>
        <w:spacing w:after="60" w:line="276"/>
        <w:ind w:left="1512"/>
      </w:pPr>
      <w:r>
        <w:rPr>
          <w:rFonts w:ascii="Times New Roman" w:cs="Times New Roman" w:eastAsia="Times New Roman" w:hAnsi="Times New Roman"/>
          <w:sz w:val="22"/>
          <w:szCs w:val="22"/>
        </w:rPr>
        <w:t xml:space="preserve">a. Concepts of quantum computing</w:t>
      </w:r>
    </w:p>
    <w:p>
      <w:pPr>
        <w:spacing w:after="60" w:line="276"/>
        <w:ind w:left="1512"/>
      </w:pPr>
      <w:r>
        <w:rPr>
          <w:rFonts w:ascii="Times New Roman" w:cs="Times New Roman" w:eastAsia="Times New Roman" w:hAnsi="Times New Roman"/>
          <w:sz w:val="22"/>
          <w:szCs w:val="22"/>
        </w:rPr>
        <w:t xml:space="preserve">b. Concepts of biological computing</w:t>
      </w:r>
    </w:p>
    <w:p>
      <w:pPr>
        <w:spacing w:after="60" w:line="276"/>
        <w:ind w:left="1512"/>
      </w:pPr>
      <w:r>
        <w:rPr>
          <w:rFonts w:ascii="Times New Roman" w:cs="Times New Roman" w:eastAsia="Times New Roman" w:hAnsi="Times New Roman"/>
          <w:sz w:val="22"/>
          <w:szCs w:val="22"/>
        </w:rPr>
        <w:t xml:space="preserve">c. Where post-CMOS technologies win and where they do not</w:t>
      </w:r>
    </w:p>
    <w:p>
      <w:pPr>
        <w:keepNext/>
        <w:spacing w:after="140" w:before="280" w:line="276"/>
      </w:pPr>
      <w:r>
        <w:rPr>
          <w:rFonts w:ascii="Times New Roman" w:cs="Times New Roman" w:eastAsia="Times New Roman" w:hAnsi="Times New Roman"/>
          <w:b/>
          <w:bCs/>
          <w:sz w:val="26"/>
          <w:szCs w:val="26"/>
        </w:rPr>
        <w:t xml:space="preserve">Course Learning Outcomes (Student Outcomes)</w:t>
      </w:r>
    </w:p>
    <w:p>
      <w:pPr>
        <w:spacing w:after="120" w:before="0" w:line="276"/>
      </w:pPr>
      <w:r>
        <w:rPr>
          <w:rFonts w:ascii="Times New Roman" w:cs="Times New Roman" w:eastAsia="Times New Roman" w:hAnsi="Times New Roman"/>
          <w:sz w:val="22"/>
          <w:szCs w:val="22"/>
        </w:rPr>
        <w:t xml:space="preserve">Upon completion of this course, students will be able to:</w:t>
      </w:r>
    </w:p>
    <w:p>
      <w:pPr>
        <w:pStyle w:val="ListParagraph"/>
        <w:numPr>
          <w:ilvl w:val="0"/>
          <w:numId w:val="1"/>
        </w:numPr>
        <w:spacing w:after="80" w:line="276"/>
      </w:pPr>
      <w:r>
        <w:rPr>
          <w:rFonts w:ascii="Times New Roman" w:cs="Times New Roman" w:eastAsia="Times New Roman" w:hAnsi="Times New Roman"/>
          <w:sz w:val="22"/>
          <w:szCs w:val="22"/>
        </w:rPr>
        <w:t xml:space="preserve">Perform speed and energy analysis of devices and circuits used as digital logic elements.</w:t>
      </w:r>
    </w:p>
    <w:p>
      <w:pPr>
        <w:pStyle w:val="ListParagraph"/>
        <w:numPr>
          <w:ilvl w:val="0"/>
          <w:numId w:val="1"/>
        </w:numPr>
        <w:spacing w:after="80" w:line="276"/>
      </w:pPr>
      <w:r>
        <w:rPr>
          <w:rFonts w:ascii="Times New Roman" w:cs="Times New Roman" w:eastAsia="Times New Roman" w:hAnsi="Times New Roman"/>
          <w:sz w:val="22"/>
          <w:szCs w:val="22"/>
        </w:rPr>
        <w:t xml:space="preserve">Derive the computational power of both finite (FSM) and infinite (Turing) models of computation.</w:t>
      </w:r>
    </w:p>
    <w:p>
      <w:pPr>
        <w:pStyle w:val="ListParagraph"/>
        <w:numPr>
          <w:ilvl w:val="0"/>
          <w:numId w:val="1"/>
        </w:numPr>
        <w:spacing w:after="80" w:line="276"/>
      </w:pPr>
      <w:r>
        <w:rPr>
          <w:rFonts w:ascii="Times New Roman" w:cs="Times New Roman" w:eastAsia="Times New Roman" w:hAnsi="Times New Roman"/>
          <w:sz w:val="22"/>
          <w:szCs w:val="22"/>
        </w:rPr>
        <w:t xml:space="preserve">Derive and compute noise limits (thermal, coupling, and other) in digital devices and interconnect.</w:t>
      </w:r>
    </w:p>
    <w:p>
      <w:pPr>
        <w:pStyle w:val="ListParagraph"/>
        <w:numPr>
          <w:ilvl w:val="0"/>
          <w:numId w:val="1"/>
        </w:numPr>
        <w:spacing w:after="80" w:line="276"/>
      </w:pPr>
      <w:r>
        <w:rPr>
          <w:rFonts w:ascii="Times New Roman" w:cs="Times New Roman" w:eastAsia="Times New Roman" w:hAnsi="Times New Roman"/>
          <w:sz w:val="22"/>
          <w:szCs w:val="22"/>
        </w:rPr>
        <w:t xml:space="preserve">Apply speed, energy, and reliability properties of CMOS to the design of simple CMOS digital circuits.</w:t>
      </w:r>
    </w:p>
    <w:p>
      <w:pPr>
        <w:pStyle w:val="ListParagraph"/>
        <w:numPr>
          <w:ilvl w:val="0"/>
          <w:numId w:val="1"/>
        </w:numPr>
        <w:spacing w:after="80" w:line="276"/>
      </w:pPr>
      <w:r>
        <w:rPr>
          <w:rFonts w:ascii="Times New Roman" w:cs="Times New Roman" w:eastAsia="Times New Roman" w:hAnsi="Times New Roman"/>
          <w:sz w:val="22"/>
          <w:szCs w:val="22"/>
        </w:rPr>
        <w:t xml:space="preserve">Apply speed, energy, and reliability properties to the design of at least one non-CMOS technology.</w:t>
      </w:r>
    </w:p>
    <w:p>
      <w:pPr>
        <w:pStyle w:val="ListParagraph"/>
        <w:numPr>
          <w:ilvl w:val="0"/>
          <w:numId w:val="1"/>
        </w:numPr>
        <w:spacing w:after="80" w:line="276"/>
      </w:pPr>
      <w:r>
        <w:rPr>
          <w:rFonts w:ascii="Times New Roman" w:cs="Times New Roman" w:eastAsia="Times New Roman" w:hAnsi="Times New Roman"/>
          <w:sz w:val="22"/>
          <w:szCs w:val="22"/>
        </w:rPr>
        <w:t xml:space="preserve">Communicate a physical-design analysis in written form and in a technical presentation.</w:t>
      </w:r>
    </w:p>
    <w:p>
      <w:pPr>
        <w:keepNext/>
        <w:spacing w:after="140" w:before="280" w:line="276"/>
      </w:pPr>
      <w:r>
        <w:rPr>
          <w:rFonts w:ascii="Times New Roman" w:cs="Times New Roman" w:eastAsia="Times New Roman" w:hAnsi="Times New Roman"/>
          <w:b/>
          <w:bCs/>
          <w:sz w:val="26"/>
          <w:szCs w:val="26"/>
        </w:rPr>
        <w:t xml:space="preserve">Outcome Assessment Strategies</w:t>
      </w:r>
    </w:p>
    <w:p>
      <w:pPr>
        <w:spacing w:after="120" w:before="0" w:line="276"/>
      </w:pPr>
      <w:r>
        <w:rPr>
          <w:rFonts w:ascii="Times New Roman" w:cs="Times New Roman" w:eastAsia="Times New Roman" w:hAnsi="Times New Roman"/>
          <w:sz w:val="22"/>
          <w:szCs w:val="22"/>
        </w:rPr>
        <w:t xml:space="preserve">All course outcomes are assessed through the four graded projects. Each project pairs a simulation or computational model with a written analysis, and carries a published rubric that maps its criteria to the course learning outcomes above.</w:t>
      </w:r>
    </w:p>
    <w:p>
      <w:pPr>
        <w:keepNext/>
        <w:spacing w:after="140" w:before="280" w:line="276"/>
      </w:pPr>
      <w:r>
        <w:rPr>
          <w:rFonts w:ascii="Times New Roman" w:cs="Times New Roman" w:eastAsia="Times New Roman" w:hAnsi="Times New Roman"/>
          <w:b/>
          <w:bCs/>
          <w:sz w:val="26"/>
          <w:szCs w:val="26"/>
        </w:rPr>
        <w:t xml:space="preserve">Course Format</w:t>
      </w:r>
    </w:p>
    <w:p>
      <w:pPr>
        <w:spacing w:after="120" w:before="0" w:line="276"/>
      </w:pPr>
      <w:r>
        <w:rPr>
          <w:rFonts w:ascii="Times New Roman" w:cs="Times New Roman" w:eastAsia="Times New Roman" w:hAnsi="Times New Roman"/>
          <w:sz w:val="22"/>
          <w:szCs w:val="22"/>
        </w:rPr>
        <w:t xml:space="preserve">This is a three-credit course with an integrated two-hour laboratory component, delivered online. Each week consists of two live 110-minute sessions in which concepts are developed and student work is demonstrated and critiqued.</w:t>
      </w:r>
    </w:p>
    <w:p>
      <w:pPr>
        <w:spacing w:after="120" w:before="0" w:line="276"/>
      </w:pPr>
      <w:r>
        <w:rPr>
          <w:rFonts w:ascii="Times New Roman" w:cs="Times New Roman" w:eastAsia="Times New Roman" w:hAnsi="Times New Roman"/>
          <w:sz w:val="22"/>
          <w:szCs w:val="22"/>
        </w:rPr>
        <w:t xml:space="preserve">The laboratory component is carried out within these sessions: students build, demonstrate, and critique working artifacts during the meeting rather than only afterward, and continue project work between sessions.</w:t>
      </w:r>
    </w:p>
    <w:p>
      <w:pPr>
        <w:spacing w:after="120" w:before="0" w:line="276"/>
      </w:pPr>
      <w:r>
        <w:rPr>
          <w:rFonts w:ascii="Times New Roman" w:cs="Times New Roman" w:eastAsia="Times New Roman" w:hAnsi="Times New Roman"/>
          <w:sz w:val="22"/>
          <w:szCs w:val="22"/>
        </w:rPr>
        <w:t xml:space="preserve">This section is taught as a small-group tutorial and sessions are run accordingly: every student is expected to present current work and take part in critique at each meeting. Details of the individual sessions are given in the weekly schedule below.</w:t>
      </w:r>
    </w:p>
    <w:p>
      <w:pPr>
        <w:keepNext/>
        <w:spacing w:after="140" w:before="280" w:line="276"/>
      </w:pPr>
      <w:r>
        <w:rPr>
          <w:rFonts w:ascii="Times New Roman" w:cs="Times New Roman" w:eastAsia="Times New Roman" w:hAnsi="Times New Roman"/>
          <w:b/>
          <w:bCs/>
          <w:sz w:val="26"/>
          <w:szCs w:val="26"/>
        </w:rPr>
        <w:t xml:space="preserve">Assignments + Grading</w:t>
      </w:r>
    </w:p>
    <w:p>
      <w:pPr>
        <w:spacing w:after="120" w:before="0" w:line="276"/>
      </w:pPr>
      <w:r>
        <w:rPr>
          <w:rFonts w:ascii="Times New Roman" w:cs="Times New Roman" w:eastAsia="Times New Roman" w:hAnsi="Times New Roman"/>
          <w:sz w:val="22"/>
          <w:szCs w:val="22"/>
        </w:rPr>
        <w:t xml:space="preserve">This course is graded entirely on project work. There are no examinations. Each project is a self-contained, hands-on build with a written component; detailed specifications and rubrics are released in class and posted to the course repository at least two weeks before the due date.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0"/>
        <w:gridCol w:w="1860"/>
      </w:tblGrid>
      <w:tr>
        <w:trPr>
          <w:tblHeader/>
        </w:trPr>
        <w:tc>
          <w:tcPr>
            <w:tcW w:type="dxa" w:w="75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Description (see Appendix for grading rubrics)</w:t>
            </w:r>
          </w:p>
        </w:tc>
        <w:tc>
          <w:tcPr>
            <w:tcW w:type="dxa" w:w="186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Weight %</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1 — Bit Representation and Noise Analysis — </w:t>
            </w:r>
            <w:r>
              <w:rPr>
                <w:rFonts w:ascii="Times New Roman" w:cs="Times New Roman" w:eastAsia="Times New Roman" w:hAnsi="Times New Roman"/>
                <w:sz w:val="22"/>
                <w:szCs w:val="22"/>
              </w:rPr>
              <w:t xml:space="preserve">Build a computational model of a bit held by an energy barrier, and determine the minimum barrier height and switching energy required for a specified error rate at a specified temperature. The written component must relate the model to thermal noise limits and to the observed behavior of real devices.</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2 — CMOS Logic: Speed and Energy — </w:t>
            </w:r>
            <w:r>
              <w:rPr>
                <w:rFonts w:ascii="Times New Roman" w:cs="Times New Roman" w:eastAsia="Times New Roman" w:hAnsi="Times New Roman"/>
                <w:sz w:val="22"/>
                <w:szCs w:val="22"/>
              </w:rPr>
              <w:t xml:space="preserve">Design a small CMOS logic block, simulate it, and characterize its propagation delay, dynamic and static power, and noise margins across a range of supply voltages and loads. Deliverables include the simulation files and an energy-delay trade-off analysis.</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3 — Interconnect, Timing, and Signal Integrity — </w:t>
            </w:r>
            <w:r>
              <w:rPr>
                <w:rFonts w:ascii="Times New Roman" w:cs="Times New Roman" w:eastAsia="Times New Roman" w:hAnsi="Times New Roman"/>
                <w:sz w:val="22"/>
                <w:szCs w:val="22"/>
              </w:rPr>
              <w:t xml:space="preserve">Model the RC behavior of the interconnect in a small datapath, determine the maximum clock frequency the physical layer permits, and analyze coupling noise between adjacent lines. The written component must identify which physical effect binds the design and why.</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4 — Capstone: Beyond CMOS — </w:t>
            </w:r>
            <w:r>
              <w:rPr>
                <w:rFonts w:ascii="Times New Roman" w:cs="Times New Roman" w:eastAsia="Times New Roman" w:hAnsi="Times New Roman"/>
                <w:sz w:val="22"/>
                <w:szCs w:val="22"/>
              </w:rPr>
              <w:t xml:space="preserve">Select a non-CMOS computing technology — analog, quantum, biological, or another approved alternative — and produce a design study applying speed, energy, and reliability analysis to a specific computational task, with a defensible comparison against a CMOS baseline. Deliverables are the model, a technical report, and a live presentation during the final session block.</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c>
          <w:tcPr>
            <w:tcW w:type="dxa" w:w="75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TOTAL</w:t>
            </w:r>
          </w:p>
        </w:tc>
        <w:tc>
          <w:tcPr>
            <w:tcW w:type="dxa" w:w="186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100%</w:t>
            </w:r>
          </w:p>
        </w:tc>
      </w:tr>
    </w:tbl>
    <w:p>
      <w:pPr>
        <w:spacing w:after="120" w:before="120" w:line="276"/>
      </w:pPr>
      <w:r>
        <w:rPr>
          <w:rFonts w:ascii="Times New Roman" w:cs="Times New Roman" w:eastAsia="Times New Roman" w:hAnsi="Times New Roman"/>
          <w:b/>
          <w:bCs/>
          <w:i/>
          <w:iCs/>
          <w:sz w:val="22"/>
          <w:szCs w:val="22"/>
        </w:rPr>
        <w:t xml:space="preserve">Note: </w:t>
      </w:r>
      <w:r>
        <w:rPr>
          <w:rFonts w:ascii="Times New Roman" w:cs="Times New Roman" w:eastAsia="Times New Roman" w:hAnsi="Times New Roman"/>
          <w:sz w:val="22"/>
          <w:szCs w:val="22"/>
        </w:rPr>
        <w:t xml:space="preserve">Every project is submitted as a Git repository plus a written report. Late submissions are reduced by 10% per calendar day unless an extension has been granted in advance (see Course Policies).</w:t>
      </w:r>
    </w:p>
    <w:p>
      <w:pPr>
        <w:keepNext/>
        <w:spacing w:after="140" w:before="280" w:line="276"/>
      </w:pPr>
      <w:r>
        <w:rPr>
          <w:rFonts w:ascii="Times New Roman" w:cs="Times New Roman" w:eastAsia="Times New Roman" w:hAnsi="Times New Roman"/>
          <w:b/>
          <w:bCs/>
          <w:sz w:val="26"/>
          <w:szCs w:val="26"/>
        </w:rPr>
        <w:t xml:space="preserve">Weekly Schedule</w:t>
      </w:r>
    </w:p>
    <w:p>
      <w:pPr>
        <w:spacing w:after="120" w:before="0" w:line="276"/>
      </w:pPr>
      <w:r>
        <w:rPr>
          <w:rFonts w:ascii="Times New Roman" w:cs="Times New Roman" w:eastAsia="Times New Roman" w:hAnsi="Times New Roman"/>
          <w:sz w:val="22"/>
          <w:szCs w:val="22"/>
        </w:rPr>
        <w:t xml:space="preserve">LIU Brooklyn Academic Calendar can be found at this URL: </w:t>
      </w:r>
      <w:hyperlink w:history="1" r:id="rIdomneix3fh7e_1nvyqtch9">
        <w:r>
          <w:rPr>
            <w:rStyle w:val="Hyperlink"/>
            <w:rFonts w:ascii="Times New Roman" w:cs="Times New Roman" w:eastAsia="Times New Roman" w:hAnsi="Times New Roman"/>
            <w:color w:val="0563C1"/>
            <w:sz w:val="22"/>
            <w:szCs w:val="22"/>
            <w:u w:val="single"/>
          </w:rPr>
          <w:t xml:space="preserve">https://www.liu.edu/brooklyn/Enrollment-Services/Registration/Academic-Calendar</w:t>
        </w:r>
      </w:hyperlink>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20"/>
        <w:gridCol w:w="1440"/>
        <w:gridCol w:w="3120"/>
        <w:gridCol w:w="1180"/>
        <w:gridCol w:w="2800"/>
      </w:tblGrid>
      <w:tr>
        <w:trPr>
          <w:tblHeader/>
        </w:trPr>
        <w:tc>
          <w:tcPr>
            <w:tcW w:type="dxa" w:w="82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Unit</w:t>
            </w:r>
          </w:p>
        </w:tc>
        <w:tc>
          <w:tcPr>
            <w:tcW w:type="dxa" w:w="144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Session · Date</w:t>
            </w:r>
          </w:p>
        </w:tc>
        <w:tc>
          <w:tcPr>
            <w:tcW w:type="dxa" w:w="312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Topic</w:t>
            </w:r>
          </w:p>
        </w:tc>
        <w:tc>
          <w:tcPr>
            <w:tcW w:type="dxa" w:w="118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Materials*</w:t>
            </w:r>
          </w:p>
        </w:tc>
        <w:tc>
          <w:tcPr>
            <w:tcW w:type="dxa" w:w="280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To Do</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 · Sep 2</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Course overview. From physics to computation: the digital abstraction</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01</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Set up Python and simulation toolchain</w:t>
            </w:r>
          </w:p>
          <w:p>
            <w:pPr>
              <w:pStyle w:val="ListParagraph"/>
              <w:numPr>
                <w:ilvl w:val="0"/>
                <w:numId w:val="1"/>
              </w:numPr>
              <w:spacing w:after="80" w:line="276"/>
            </w:pPr>
            <w:r>
              <w:rPr>
                <w:rFonts w:ascii="Times New Roman" w:cs="Times New Roman" w:eastAsia="Times New Roman" w:hAnsi="Times New Roman"/>
                <w:sz w:val="19"/>
                <w:szCs w:val="19"/>
              </w:rPr>
              <w:t xml:space="preserve">Set up Git and GitHub</w:t>
            </w:r>
          </w:p>
          <w:p>
            <w:pPr>
              <w:pStyle w:val="ListParagraph"/>
              <w:numPr>
                <w:ilvl w:val="0"/>
                <w:numId w:val="1"/>
              </w:numPr>
              <w:spacing w:after="80" w:line="276"/>
            </w:pPr>
            <w:r>
              <w:rPr>
                <w:rFonts w:ascii="Times New Roman" w:cs="Times New Roman" w:eastAsia="Times New Roman" w:hAnsi="Times New Roman"/>
                <w:sz w:val="19"/>
                <w:szCs w:val="19"/>
              </w:rPr>
              <w:t xml:space="preserve">Join the course repository</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2</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 · Sep 9</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Representing a bit: distinguishability, state change, and the barrier model</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02</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01–02</w:t>
            </w:r>
          </w:p>
          <w:p>
            <w:pPr>
              <w:pStyle w:val="ListParagraph"/>
              <w:numPr>
                <w:ilvl w:val="0"/>
                <w:numId w:val="1"/>
              </w:numPr>
              <w:spacing w:after="80" w:line="276"/>
            </w:pPr>
            <w:r>
              <w:rPr>
                <w:rFonts w:ascii="Times New Roman" w:cs="Times New Roman" w:eastAsia="Times New Roman" w:hAnsi="Times New Roman"/>
                <w:sz w:val="19"/>
                <w:szCs w:val="19"/>
              </w:rPr>
              <w:t xml:space="preserve">Project 1 specification released</w:t>
            </w:r>
          </w:p>
          <w:p>
            <w:pPr>
              <w:pStyle w:val="ListParagraph"/>
              <w:numPr>
                <w:ilvl w:val="0"/>
                <w:numId w:val="1"/>
              </w:numPr>
              <w:spacing w:after="80" w:line="276"/>
            </w:pPr>
            <w:r>
              <w:rPr>
                <w:rFonts w:ascii="Times New Roman" w:cs="Times New Roman" w:eastAsia="Times New Roman" w:hAnsi="Times New Roman"/>
                <w:i/>
                <w:iCs/>
                <w:sz w:val="19"/>
                <w:szCs w:val="19"/>
              </w:rPr>
              <w:t xml:space="preserve">Sep 7 — no class (Labor Day)</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3</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S3–S4 · Sep 14, Sep 16</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Energy, entropy, and thermal noise. The physical cost of reliability</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03</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03</w:t>
            </w:r>
          </w:p>
          <w:p>
            <w:pPr>
              <w:pStyle w:val="ListParagraph"/>
              <w:numPr>
                <w:ilvl w:val="0"/>
                <w:numId w:val="1"/>
              </w:numPr>
              <w:spacing w:after="80" w:line="276"/>
            </w:pPr>
            <w:r>
              <w:rPr>
                <w:rFonts w:ascii="Times New Roman" w:cs="Times New Roman" w:eastAsia="Times New Roman" w:hAnsi="Times New Roman"/>
                <w:sz w:val="19"/>
                <w:szCs w:val="19"/>
              </w:rPr>
              <w:t xml:space="preserve">Project 1 work begins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4</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S5–S6 · Sep 21, Sep 23</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Semiconductor physics essentials for the digital engineer</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04</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04</w:t>
            </w:r>
          </w:p>
          <w:p>
            <w:pPr>
              <w:pStyle w:val="ListParagraph"/>
              <w:numPr>
                <w:ilvl w:val="0"/>
                <w:numId w:val="1"/>
              </w:numPr>
              <w:spacing w:after="80" w:line="276"/>
            </w:pPr>
            <w:r>
              <w:rPr>
                <w:rFonts w:ascii="Times New Roman" w:cs="Times New Roman" w:eastAsia="Times New Roman" w:hAnsi="Times New Roman"/>
                <w:sz w:val="19"/>
                <w:szCs w:val="19"/>
              </w:rPr>
              <w:t xml:space="preserve">Project 1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5</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S7–S8 · Sep 28, Sep 30</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MOSFET device physics: structure, operating regions, and models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05</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05</w:t>
            </w:r>
          </w:p>
          <w:p>
            <w:pPr>
              <w:pStyle w:val="ListParagraph"/>
              <w:numPr>
                <w:ilvl w:val="0"/>
                <w:numId w:val="1"/>
              </w:numPr>
              <w:spacing w:after="80" w:line="276"/>
            </w:pPr>
            <w:r>
              <w:rPr>
                <w:rFonts w:ascii="Times New Roman" w:cs="Times New Roman" w:eastAsia="Times New Roman" w:hAnsi="Times New Roman"/>
                <w:sz w:val="19"/>
                <w:szCs w:val="19"/>
              </w:rPr>
              <w:t xml:space="preserve">Project 1 due</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6</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S9–S10 · Oct 5, Oct 7</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Switches as computing devices. CMOS inverter and static logic families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06</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06</w:t>
            </w:r>
          </w:p>
          <w:p>
            <w:pPr>
              <w:pStyle w:val="ListParagraph"/>
              <w:numPr>
                <w:ilvl w:val="0"/>
                <w:numId w:val="1"/>
              </w:numPr>
              <w:spacing w:after="80" w:line="276"/>
            </w:pPr>
            <w:r>
              <w:rPr>
                <w:rFonts w:ascii="Times New Roman" w:cs="Times New Roman" w:eastAsia="Times New Roman" w:hAnsi="Times New Roman"/>
                <w:sz w:val="19"/>
                <w:szCs w:val="19"/>
              </w:rPr>
              <w:t xml:space="preserve">Project 2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7</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S11–S12 · Oct 12, Oct 14</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Interconnected switches: combinational logic and physical composition</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07</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07</w:t>
            </w:r>
          </w:p>
          <w:p>
            <w:pPr>
              <w:pStyle w:val="ListParagraph"/>
              <w:numPr>
                <w:ilvl w:val="0"/>
                <w:numId w:val="1"/>
              </w:numPr>
              <w:spacing w:after="80" w:line="276"/>
            </w:pPr>
            <w:r>
              <w:rPr>
                <w:rFonts w:ascii="Times New Roman" w:cs="Times New Roman" w:eastAsia="Times New Roman" w:hAnsi="Times New Roman"/>
                <w:sz w:val="19"/>
                <w:szCs w:val="19"/>
              </w:rPr>
              <w:t xml:space="preserve">Project 2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8</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S13–S14 · Oct 19, Oct 21</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RC circuit analysis and delay modeling of gates and loads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08</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08</w:t>
            </w:r>
          </w:p>
          <w:p>
            <w:pPr>
              <w:pStyle w:val="ListParagraph"/>
              <w:numPr>
                <w:ilvl w:val="0"/>
                <w:numId w:val="1"/>
              </w:numPr>
              <w:spacing w:after="80" w:line="276"/>
            </w:pPr>
            <w:r>
              <w:rPr>
                <w:rFonts w:ascii="Times New Roman" w:cs="Times New Roman" w:eastAsia="Times New Roman" w:hAnsi="Times New Roman"/>
                <w:sz w:val="19"/>
                <w:szCs w:val="19"/>
              </w:rPr>
              <w:t xml:space="preserve">Project 2 due</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9</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S15–S16 · Oct 26, Oct 28</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Wires: signal propagation, transmission-line behavior, and communication cost</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09</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09</w:t>
            </w:r>
          </w:p>
          <w:p>
            <w:pPr>
              <w:pStyle w:val="ListParagraph"/>
              <w:numPr>
                <w:ilvl w:val="0"/>
                <w:numId w:val="1"/>
              </w:numPr>
              <w:spacing w:after="80" w:line="276"/>
            </w:pPr>
            <w:r>
              <w:rPr>
                <w:rFonts w:ascii="Times New Roman" w:cs="Times New Roman" w:eastAsia="Times New Roman" w:hAnsi="Times New Roman"/>
                <w:sz w:val="19"/>
                <w:szCs w:val="19"/>
              </w:rPr>
              <w:t xml:space="preserve">Project 3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10</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S17–S18 · Nov 2, Nov 4</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Performance: critical path, delay budgets, and speed analysis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10</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10</w:t>
            </w:r>
          </w:p>
          <w:p>
            <w:pPr>
              <w:pStyle w:val="ListParagraph"/>
              <w:numPr>
                <w:ilvl w:val="0"/>
                <w:numId w:val="1"/>
              </w:numPr>
              <w:spacing w:after="80" w:line="276"/>
            </w:pPr>
            <w:r>
              <w:rPr>
                <w:rFonts w:ascii="Times New Roman" w:cs="Times New Roman" w:eastAsia="Times New Roman" w:hAnsi="Times New Roman"/>
                <w:sz w:val="19"/>
                <w:szCs w:val="19"/>
              </w:rPr>
              <w:t xml:space="preserve">Project 3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11</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S19–S20 · Nov 9, Nov 11</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Energy: dynamic and static power, and the energy-delay trade-off</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11</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11</w:t>
            </w:r>
          </w:p>
          <w:p>
            <w:pPr>
              <w:pStyle w:val="ListParagraph"/>
              <w:numPr>
                <w:ilvl w:val="0"/>
                <w:numId w:val="1"/>
              </w:numPr>
              <w:spacing w:after="80" w:line="276"/>
            </w:pPr>
            <w:r>
              <w:rPr>
                <w:rFonts w:ascii="Times New Roman" w:cs="Times New Roman" w:eastAsia="Times New Roman" w:hAnsi="Times New Roman"/>
                <w:sz w:val="19"/>
                <w:szCs w:val="19"/>
              </w:rPr>
              <w:t xml:space="preserve">Project 3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12</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S21–S22 · Nov 16, Nov 18</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Robustness: noise margins, thermal and coupling noise, and error</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12</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12</w:t>
            </w:r>
          </w:p>
          <w:p>
            <w:pPr>
              <w:pStyle w:val="ListParagraph"/>
              <w:numPr>
                <w:ilvl w:val="0"/>
                <w:numId w:val="1"/>
              </w:numPr>
              <w:spacing w:after="80" w:line="276"/>
            </w:pPr>
            <w:r>
              <w:rPr>
                <w:rFonts w:ascii="Times New Roman" w:cs="Times New Roman" w:eastAsia="Times New Roman" w:hAnsi="Times New Roman"/>
                <w:sz w:val="19"/>
                <w:szCs w:val="19"/>
              </w:rPr>
              <w:t xml:space="preserve">Project 3 due</w:t>
            </w:r>
          </w:p>
          <w:p>
            <w:pPr>
              <w:pStyle w:val="ListParagraph"/>
              <w:numPr>
                <w:ilvl w:val="0"/>
                <w:numId w:val="1"/>
              </w:numPr>
              <w:spacing w:after="80" w:line="276"/>
            </w:pPr>
            <w:r>
              <w:rPr>
                <w:rFonts w:ascii="Times New Roman" w:cs="Times New Roman" w:eastAsia="Times New Roman" w:hAnsi="Times New Roman"/>
                <w:sz w:val="19"/>
                <w:szCs w:val="19"/>
              </w:rPr>
              <w:t xml:space="preserve">Project 4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13</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S23–S24 · Nov 23, Nov 25</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Sequential logic, clocking, timing closure, and metastability. FSM and Turing models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13</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13</w:t>
            </w:r>
          </w:p>
          <w:p>
            <w:pPr>
              <w:pStyle w:val="ListParagraph"/>
              <w:numPr>
                <w:ilvl w:val="0"/>
                <w:numId w:val="1"/>
              </w:numPr>
              <w:spacing w:after="80" w:line="276"/>
            </w:pPr>
            <w:r>
              <w:rPr>
                <w:rFonts w:ascii="Times New Roman" w:cs="Times New Roman" w:eastAsia="Times New Roman" w:hAnsi="Times New Roman"/>
                <w:sz w:val="19"/>
                <w:szCs w:val="19"/>
              </w:rPr>
              <w:t xml:space="preserve">Capstone proposal due</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14</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S25–S26 · Nov 30, Dec 2</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Memory, input/output, and the physical limits of CMOS. CMOS analog computing</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14</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14</w:t>
            </w:r>
          </w:p>
          <w:p>
            <w:pPr>
              <w:pStyle w:val="ListParagraph"/>
              <w:numPr>
                <w:ilvl w:val="0"/>
                <w:numId w:val="1"/>
              </w:numPr>
              <w:spacing w:after="80" w:line="276"/>
            </w:pPr>
            <w:r>
              <w:rPr>
                <w:rFonts w:ascii="Times New Roman" w:cs="Times New Roman" w:eastAsia="Times New Roman" w:hAnsi="Times New Roman"/>
                <w:sz w:val="19"/>
                <w:szCs w:val="19"/>
              </w:rPr>
              <w:t xml:space="preserve">Capstone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15</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S27–S28 · Dec 7, Dec 9</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Alternative models: quantum and biological computing. Capstone presentations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15</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15</w:t>
            </w:r>
          </w:p>
          <w:p>
            <w:pPr>
              <w:pStyle w:val="ListParagraph"/>
              <w:numPr>
                <w:ilvl w:val="0"/>
                <w:numId w:val="1"/>
              </w:numPr>
              <w:spacing w:after="80" w:line="276"/>
            </w:pPr>
            <w:r>
              <w:rPr>
                <w:rFonts w:ascii="Times New Roman" w:cs="Times New Roman" w:eastAsia="Times New Roman" w:hAnsi="Times New Roman"/>
                <w:sz w:val="19"/>
                <w:szCs w:val="19"/>
              </w:rPr>
              <w:t xml:space="preserve">Capstone presentations</w:t>
            </w:r>
          </w:p>
          <w:p>
            <w:pPr>
              <w:pStyle w:val="ListParagraph"/>
              <w:numPr>
                <w:ilvl w:val="0"/>
                <w:numId w:val="1"/>
              </w:numPr>
              <w:spacing w:after="80" w:line="276"/>
            </w:pPr>
            <w:r>
              <w:rPr>
                <w:rFonts w:ascii="Times New Roman" w:cs="Times New Roman" w:eastAsia="Times New Roman" w:hAnsi="Times New Roman"/>
                <w:sz w:val="19"/>
                <w:szCs w:val="19"/>
              </w:rPr>
              <w:t xml:space="preserve">Final report and model submission</w:t>
            </w:r>
          </w:p>
        </w:tc>
      </w:tr>
      <w:t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Finals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Dec 14–21</w:t>
            </w:r>
          </w:p>
        </w:tc>
        <w:tc>
          <w:tcPr>
            <w:tcW w:type="dxa" w:w="71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19"/>
                <w:szCs w:val="19"/>
              </w:rPr>
              <w:t xml:space="preserve">Final capstone deliverables due. No final examination.</w:t>
            </w:r>
          </w:p>
        </w:tc>
      </w:tr>
    </w:tbl>
    <w:p>
      <w:pPr>
        <w:spacing w:after="120" w:before="100" w:line="276"/>
      </w:pPr>
      <w:r>
        <w:rPr>
          <w:rFonts w:ascii="Times New Roman" w:cs="Times New Roman" w:eastAsia="Times New Roman" w:hAnsi="Times New Roman"/>
          <w:b/>
          <w:bCs/>
          <w:sz w:val="22"/>
          <w:szCs w:val="22"/>
        </w:rPr>
        <w:t xml:space="preserve">Note (*): </w:t>
      </w:r>
      <w:r>
        <w:rPr>
          <w:rFonts w:ascii="Times New Roman" w:cs="Times New Roman" w:eastAsia="Times New Roman" w:hAnsi="Times New Roman"/>
          <w:b/>
          <w:bCs/>
          <w:sz w:val="22"/>
          <w:szCs w:val="22"/>
        </w:rPr>
        <w:t xml:space="preserve">“Notes NN” refers to the instructor-written note set posted in the course repository for that week. The schedule above is aligned to the LIU Brooklyn academic calendar; any session affected by a University holiday, closure, or calendar change will be adjusted and announced in class and on Brightspace (lms.liu.edu) in advance.</w:t>
      </w:r>
    </w:p>
    <w:p>
      <w:pPr>
        <w:keepNext/>
        <w:spacing w:after="140" w:before="280" w:line="276"/>
      </w:pPr>
      <w:r>
        <w:rPr>
          <w:rFonts w:ascii="Times New Roman" w:cs="Times New Roman" w:eastAsia="Times New Roman" w:hAnsi="Times New Roman"/>
          <w:b/>
          <w:bCs/>
          <w:sz w:val="26"/>
          <w:szCs w:val="26"/>
        </w:rPr>
        <w:t xml:space="preserve">Course Time Commitment</w:t>
      </w:r>
    </w:p>
    <w:tbl>
      <w:tblPr>
        <w:tblW w:type="dxa" w:w="5800"/>
        <w:jc w:val="center"/>
        <w:tblBorders>
          <w:top w:val="single" w:color="auto" w:sz="4"/>
          <w:left w:val="single" w:color="auto" w:sz="4"/>
          <w:bottom w:val="single" w:color="auto" w:sz="4"/>
          <w:right w:val="single" w:color="auto" w:sz="4"/>
          <w:insideH w:val="single" w:color="auto" w:sz="4"/>
          <w:insideV w:val="single" w:color="auto" w:sz="4"/>
        </w:tblBorders>
      </w:tblPr>
      <w:tblGrid>
        <w:gridCol w:w="3400"/>
        <w:gridCol w:w="2400"/>
      </w:tblGrid>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Synchronous class sessions</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51 h (28 sessions × 1.83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Review of posted notes</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30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1 — Bit Representation and Noise</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17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2 — CMOS Logic: Speed and Energy</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3 — Interconnect and Timing</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4 — Capstone and presentation</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22 h</w:t>
            </w:r>
          </w:p>
        </w:tc>
      </w:tr>
      <w:tr>
        <w:tc>
          <w:tcPr>
            <w:tcW w:type="dxa" w:w="3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Total</w:t>
            </w:r>
          </w:p>
        </w:tc>
        <w:tc>
          <w:tcPr>
            <w:tcW w:type="dxa" w:w="2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160 h</w:t>
            </w:r>
          </w:p>
        </w:tc>
      </w:tr>
    </w:tbl>
    <w:p>
      <w:pPr>
        <w:keepNext/>
        <w:spacing w:after="140" w:before="280" w:line="276"/>
      </w:pPr>
      <w:r>
        <w:rPr>
          <w:rFonts w:ascii="Times New Roman" w:cs="Times New Roman" w:eastAsia="Times New Roman" w:hAnsi="Times New Roman"/>
          <w:b/>
          <w:bCs/>
          <w:sz w:val="26"/>
          <w:szCs w:val="26"/>
        </w:rPr>
        <w:t xml:space="preserve">Course Policies</w:t>
      </w:r>
    </w:p>
    <w:p>
      <w:pPr>
        <w:pStyle w:val="ListParagraph"/>
        <w:numPr>
          <w:ilvl w:val="0"/>
          <w:numId w:val="1"/>
        </w:numPr>
        <w:spacing w:after="80" w:line="276"/>
      </w:pPr>
      <w:r>
        <w:rPr>
          <w:rFonts w:ascii="Times New Roman" w:cs="Times New Roman" w:eastAsia="Times New Roman" w:hAnsi="Times New Roman"/>
          <w:sz w:val="22"/>
          <w:szCs w:val="22"/>
        </w:rPr>
        <w:t xml:space="preserve">All class sessions are held live on Google Meet at the scheduled times. Students are expected to attend, to have their development environment running, and to be able to share their screen when demonstrating work.</w:t>
      </w:r>
    </w:p>
    <w:p>
      <w:pPr>
        <w:pStyle w:val="ListParagraph"/>
        <w:numPr>
          <w:ilvl w:val="0"/>
          <w:numId w:val="1"/>
        </w:numPr>
        <w:spacing w:after="80" w:line="276"/>
      </w:pPr>
      <w:r>
        <w:rPr>
          <w:rFonts w:ascii="Times New Roman" w:cs="Times New Roman" w:eastAsia="Times New Roman" w:hAnsi="Times New Roman"/>
          <w:sz w:val="22"/>
          <w:szCs w:val="22"/>
        </w:rPr>
        <w:t xml:space="preserve">Modes of communication for this course are Brightspace (lms.liu.edu) and email. Expect a reply within 24 hours.</w:t>
      </w:r>
    </w:p>
    <w:p>
      <w:pPr>
        <w:pStyle w:val="ListParagraph"/>
        <w:numPr>
          <w:ilvl w:val="0"/>
          <w:numId w:val="1"/>
        </w:numPr>
        <w:spacing w:after="80" w:line="276"/>
      </w:pPr>
      <w:r>
        <w:rPr>
          <w:rFonts w:ascii="Times New Roman" w:cs="Times New Roman" w:eastAsia="Times New Roman" w:hAnsi="Times New Roman"/>
          <w:sz w:val="22"/>
          <w:szCs w:val="22"/>
        </w:rPr>
        <w:t xml:space="preserve">Virtual office hours are held by appointment. Email the instructor to schedule; requests are accommodated within normal business hours wherever possible.</w:t>
      </w:r>
    </w:p>
    <w:p>
      <w:pPr>
        <w:pStyle w:val="ListParagraph"/>
        <w:numPr>
          <w:ilvl w:val="0"/>
          <w:numId w:val="1"/>
        </w:numPr>
        <w:spacing w:after="80" w:line="276"/>
      </w:pPr>
      <w:r>
        <w:rPr>
          <w:rFonts w:ascii="Times New Roman" w:cs="Times New Roman" w:eastAsia="Times New Roman" w:hAnsi="Times New Roman"/>
          <w:sz w:val="22"/>
          <w:szCs w:val="22"/>
        </w:rPr>
        <w:t xml:space="preserve">All course notes, examples, and project specifications are distributed through the course repository. Students are responsible for pulling the current version before each session.</w:t>
      </w:r>
    </w:p>
    <w:p>
      <w:pPr>
        <w:pStyle w:val="ListParagraph"/>
        <w:numPr>
          <w:ilvl w:val="0"/>
          <w:numId w:val="1"/>
        </w:numPr>
        <w:spacing w:after="80" w:line="276"/>
      </w:pPr>
      <w:r>
        <w:rPr>
          <w:rFonts w:ascii="Times New Roman" w:cs="Times New Roman" w:eastAsia="Times New Roman" w:hAnsi="Times New Roman"/>
          <w:sz w:val="22"/>
          <w:szCs w:val="22"/>
        </w:rPr>
        <w:t xml:space="preserve">Every project is submitted through Brightspace as a link to the student’s Git repository, together with the written report. Commit history is part of the evidence of individual work.</w:t>
      </w:r>
    </w:p>
    <w:p>
      <w:pPr>
        <w:pStyle w:val="ListParagraph"/>
        <w:numPr>
          <w:ilvl w:val="0"/>
          <w:numId w:val="1"/>
        </w:numPr>
        <w:spacing w:after="80" w:line="276"/>
      </w:pPr>
      <w:r>
        <w:rPr>
          <w:rFonts w:ascii="Times New Roman" w:cs="Times New Roman" w:eastAsia="Times New Roman" w:hAnsi="Times New Roman"/>
          <w:sz w:val="22"/>
          <w:szCs w:val="22"/>
        </w:rPr>
        <w:t xml:space="preserve">Late work is reduced by 10% per calendar day. Extensions for project deliverables are granted only for a documented medical or family emergency, and must be requested before the deadline by email to the instructor.</w:t>
      </w:r>
    </w:p>
    <w:p>
      <w:pPr>
        <w:pStyle w:val="ListParagraph"/>
        <w:numPr>
          <w:ilvl w:val="0"/>
          <w:numId w:val="1"/>
        </w:numPr>
        <w:spacing w:after="80" w:line="276"/>
      </w:pPr>
      <w:r>
        <w:rPr>
          <w:rFonts w:ascii="Times New Roman" w:cs="Times New Roman" w:eastAsia="Times New Roman" w:hAnsi="Times New Roman"/>
          <w:sz w:val="22"/>
          <w:szCs w:val="22"/>
        </w:rPr>
        <w:t xml:space="preserve">Projects are individual work unless a specification explicitly designates the project as a team deliverable. Students may discuss approaches with one another, but submitted code, models, and writing must be the student’s own.</w:t>
      </w:r>
    </w:p>
    <w:p>
      <w:pPr>
        <w:pStyle w:val="ListParagraph"/>
        <w:numPr>
          <w:ilvl w:val="0"/>
          <w:numId w:val="1"/>
        </w:numPr>
        <w:spacing w:after="80" w:line="276"/>
      </w:pPr>
      <w:r>
        <w:rPr>
          <w:rFonts w:ascii="Times New Roman" w:cs="Times New Roman" w:eastAsia="Times New Roman" w:hAnsi="Times New Roman"/>
          <w:sz w:val="22"/>
          <w:szCs w:val="22"/>
        </w:rPr>
        <w:t xml:space="preserve">Generative AI tools may be used as a learning aid and are treated the same as any other reference: any AI-assisted portion of a submission must be disclosed in the project report, and the student must be able to explain and defend every line of what they submit. Undisclosed use, or submitted work the student cannot explain, is handled under the Academic Integrity policy in the Appendix.</w:t>
      </w:r>
    </w:p>
    <w:p>
      <w:pPr>
        <w:pStyle w:val="ListParagraph"/>
        <w:numPr>
          <w:ilvl w:val="0"/>
          <w:numId w:val="1"/>
        </w:numPr>
        <w:spacing w:after="80" w:line="276"/>
      </w:pPr>
      <w:r>
        <w:rPr>
          <w:rFonts w:ascii="Times New Roman" w:cs="Times New Roman" w:eastAsia="Times New Roman" w:hAnsi="Times New Roman"/>
          <w:sz w:val="22"/>
          <w:szCs w:val="22"/>
        </w:rPr>
        <w:t xml:space="preserve">Recording of class sessions by students is not permitted without the instructor’s prior written consent.</w:t>
      </w:r>
    </w:p>
    <w:p>
      <w:pPr>
        <w:spacing w:after="140" w:before="320"/>
      </w:pPr>
      <w:r>
        <w:rPr>
          <w:rFonts w:ascii="Times New Roman" w:cs="Times New Roman" w:eastAsia="Times New Roman" w:hAnsi="Times New Roman"/>
          <w:b/>
          <w:bCs/>
          <w:sz w:val="30"/>
          <w:szCs w:val="30"/>
        </w:rPr>
        <w:t xml:space="preserve">Disclaimer:</w:t>
      </w:r>
    </w:p>
    <w:p>
      <w:pPr>
        <w:spacing w:after="120" w:before="0" w:line="276"/>
      </w:pPr>
      <w:r>
        <w:rPr>
          <w:rFonts w:ascii="Times New Roman" w:cs="Times New Roman" w:eastAsia="Times New Roman" w:hAnsi="Times New Roman"/>
          <w:b/>
          <w:bCs/>
          <w:i/>
          <w:iCs/>
          <w:sz w:val="22"/>
          <w:szCs w:val="22"/>
        </w:rPr>
        <w:t xml:space="preserve">The syllabus is a tentative schedule and the instructor reserves the right to make any changes to fulfill the objectives of the courses and meet students’ needs.</w:t>
      </w:r>
    </w:p>
    <w:p>
      <w:pPr>
        <w:pageBreakBefore/>
        <w:spacing w:after="160"/>
      </w:pPr>
      <w:r>
        <w:rPr>
          <w:rFonts w:ascii="Times New Roman" w:cs="Times New Roman" w:eastAsia="Times New Roman" w:hAnsi="Times New Roman"/>
          <w:b/>
          <w:bCs/>
          <w:sz w:val="32"/>
          <w:szCs w:val="32"/>
        </w:rPr>
        <w:t xml:space="preserve">Appendix</w:t>
      </w:r>
    </w:p>
    <w:p>
      <w:pPr>
        <w:keepNext/>
        <w:spacing w:after="140" w:before="280" w:line="276"/>
      </w:pPr>
      <w:r>
        <w:rPr>
          <w:rFonts w:ascii="Times New Roman" w:cs="Times New Roman" w:eastAsia="Times New Roman" w:hAnsi="Times New Roman"/>
          <w:b/>
          <w:bCs/>
          <w:sz w:val="26"/>
          <w:szCs w:val="26"/>
        </w:rPr>
        <w:t xml:space="preserve">Academic Integrity</w:t>
      </w:r>
    </w:p>
    <w:p>
      <w:pPr>
        <w:spacing w:after="120" w:before="0" w:line="276"/>
      </w:pPr>
      <w:r>
        <w:rPr>
          <w:rFonts w:ascii="Times New Roman" w:cs="Times New Roman" w:eastAsia="Times New Roman" w:hAnsi="Times New Roman"/>
          <w:sz w:val="22"/>
          <w:szCs w:val="22"/>
        </w:rPr>
        <w:t xml:space="preserve">Academic dishonesty is unacceptable and will not be tolerated. Cheating, forgery, plagiarism and collusion in dishonest acts undermine the educational mission of Long Island University and the students' personal and intellectual growth. Policies and resources related to plagiarism can be found at: </w:t>
      </w:r>
      <w:hyperlink w:history="1" r:id="rIdmiglgbdti6fo5kbhrkfs2">
        <w:r>
          <w:rPr>
            <w:rStyle w:val="Hyperlink"/>
            <w:rFonts w:ascii="Times New Roman" w:cs="Times New Roman" w:eastAsia="Times New Roman" w:hAnsi="Times New Roman"/>
            <w:color w:val="0563C1"/>
            <w:sz w:val="22"/>
            <w:szCs w:val="22"/>
            <w:u w:val="single"/>
          </w:rPr>
          <w:t xml:space="preserve">http://liu.brooklyn.libguides.com/avoid-detect-plagiarism</w:t>
        </w:r>
      </w:hyperlink>
      <w:r>
        <w:rPr>
          <w:rFonts w:ascii="Times New Roman" w:cs="Times New Roman" w:eastAsia="Times New Roman" w:hAnsi="Times New Roman"/>
          <w:sz w:val="22"/>
          <w:szCs w:val="22"/>
        </w:rPr>
        <w:t xml:space="preserve">. University academic policies can be found in the current course bulletin, located here: </w:t>
      </w:r>
      <w:hyperlink w:history="1" r:id="rId0k5pbninxejglm3qap-ak">
        <w:r>
          <w:rPr>
            <w:rStyle w:val="Hyperlink"/>
            <w:rFonts w:ascii="Times New Roman" w:cs="Times New Roman" w:eastAsia="Times New Roman" w:hAnsi="Times New Roman"/>
            <w:color w:val="0563C1"/>
            <w:sz w:val="22"/>
            <w:szCs w:val="22"/>
            <w:u w:val="single"/>
          </w:rPr>
          <w:t xml:space="preserve">http://www.liu.edu/Brooklyn/Enrollment-Services/Registration/Academic-Bulletins</w:t>
        </w:r>
      </w:hyperlink>
      <w:r>
        <w:rPr>
          <w:rFonts w:ascii="Times New Roman" w:cs="Times New Roman" w:eastAsia="Times New Roman" w:hAnsi="Times New Roman"/>
          <w:sz w:val="22"/>
          <w:szCs w:val="22"/>
        </w:rPr>
        <w:t xml:space="preserve">.</w:t>
      </w:r>
    </w:p>
    <w:p>
      <w:pPr>
        <w:keepNext/>
        <w:spacing w:after="140" w:before="280" w:line="276"/>
      </w:pPr>
      <w:r>
        <w:rPr>
          <w:rFonts w:ascii="Times New Roman" w:cs="Times New Roman" w:eastAsia="Times New Roman" w:hAnsi="Times New Roman"/>
          <w:b/>
          <w:bCs/>
          <w:sz w:val="26"/>
          <w:szCs w:val="26"/>
        </w:rPr>
        <w:t xml:space="preserve">Copyright and Intellectual Property</w:t>
      </w:r>
    </w:p>
    <w:p>
      <w:pPr>
        <w:spacing w:after="120" w:before="0" w:line="276"/>
      </w:pPr>
      <w:r>
        <w:rPr>
          <w:rFonts w:ascii="Times New Roman" w:cs="Times New Roman" w:eastAsia="Times New Roman" w:hAnsi="Times New Roman"/>
          <w:sz w:val="22"/>
          <w:szCs w:val="22"/>
        </w:rPr>
        <w:t xml:space="preserve">Students are advised not to make copies or take digital pictures of paid and copyrighted cases, textbooks, chapters, or any other material that is copyrighted without permission of the publisher or the owner.</w:t>
      </w:r>
    </w:p>
    <w:p>
      <w:pPr>
        <w:keepNext/>
        <w:spacing w:after="140" w:before="280" w:line="276"/>
      </w:pPr>
      <w:r>
        <w:rPr>
          <w:rFonts w:ascii="Times New Roman" w:cs="Times New Roman" w:eastAsia="Times New Roman" w:hAnsi="Times New Roman"/>
          <w:b/>
          <w:bCs/>
          <w:sz w:val="26"/>
          <w:szCs w:val="26"/>
        </w:rPr>
        <w:t xml:space="preserve">Anti-Harassment</w:t>
      </w:r>
    </w:p>
    <w:p>
      <w:pPr>
        <w:spacing w:after="120" w:before="0" w:line="276"/>
      </w:pPr>
      <w:r>
        <w:rPr>
          <w:rFonts w:ascii="Times New Roman" w:cs="Times New Roman" w:eastAsia="Times New Roman" w:hAnsi="Times New Roman"/>
          <w:sz w:val="22"/>
          <w:szCs w:val="22"/>
        </w:rPr>
        <w:t xml:space="preserve">LIU Brooklyn is committed to maintaining a learning and working environment that is free of bias, prejudice, discrimination and harassment. Its anti-harassment/discrimination policy and complaint procedure can be accessed here: </w:t>
      </w:r>
      <w:hyperlink w:history="1" r:id="rIdk91kxikrsfpc37djzp72j">
        <w:r>
          <w:rPr>
            <w:rStyle w:val="Hyperlink"/>
            <w:rFonts w:ascii="Times New Roman" w:cs="Times New Roman" w:eastAsia="Times New Roman" w:hAnsi="Times New Roman"/>
            <w:color w:val="0563C1"/>
            <w:sz w:val="22"/>
            <w:szCs w:val="22"/>
            <w:u w:val="single"/>
          </w:rPr>
          <w:t xml:space="preserve">https://www.liu.edu/Human-Resources/Human-Resources-Policies/Anti-Harassment-Discrimination-Policy</w:t>
        </w:r>
      </w:hyperlink>
    </w:p>
    <w:p>
      <w:pPr>
        <w:keepNext/>
        <w:spacing w:after="140" w:before="280" w:line="276"/>
      </w:pPr>
      <w:r>
        <w:rPr>
          <w:rFonts w:ascii="Times New Roman" w:cs="Times New Roman" w:eastAsia="Times New Roman" w:hAnsi="Times New Roman"/>
          <w:b/>
          <w:bCs/>
          <w:sz w:val="26"/>
          <w:szCs w:val="26"/>
        </w:rPr>
        <w:t xml:space="preserve">Student Support Services</w:t>
      </w:r>
    </w:p>
    <w:p>
      <w:pPr>
        <w:spacing w:after="120" w:before="0" w:line="276"/>
      </w:pPr>
      <w:r>
        <w:rPr>
          <w:rFonts w:ascii="Times New Roman" w:cs="Times New Roman" w:eastAsia="Times New Roman" w:hAnsi="Times New Roman"/>
          <w:sz w:val="22"/>
          <w:szCs w:val="22"/>
        </w:rPr>
        <w:t xml:space="preserve">Student support services could be found by following these links:</w:t>
      </w:r>
    </w:p>
    <w:p>
      <w:pPr>
        <w:spacing w:after="60" w:before="0" w:line="276"/>
      </w:pPr>
      <w:hyperlink w:history="1" r:id="rIdwoz0rjm8j5h3jfc4xwfsb">
        <w:r>
          <w:rPr>
            <w:rStyle w:val="Hyperlink"/>
            <w:rFonts w:ascii="Times New Roman" w:cs="Times New Roman" w:eastAsia="Times New Roman" w:hAnsi="Times New Roman"/>
            <w:color w:val="0563C1"/>
            <w:sz w:val="22"/>
            <w:szCs w:val="22"/>
            <w:u w:val="single"/>
          </w:rPr>
          <w:t xml:space="preserve">Enrollment Services</w:t>
        </w:r>
      </w:hyperlink>
    </w:p>
    <w:p>
      <w:pPr>
        <w:spacing w:after="60" w:before="0" w:line="276"/>
      </w:pPr>
      <w:hyperlink w:history="1" r:id="rId6ov74zndbwam1cn0oqs4h">
        <w:r>
          <w:rPr>
            <w:rStyle w:val="Hyperlink"/>
            <w:rFonts w:ascii="Times New Roman" w:cs="Times New Roman" w:eastAsia="Times New Roman" w:hAnsi="Times New Roman"/>
            <w:color w:val="0563C1"/>
            <w:sz w:val="22"/>
            <w:szCs w:val="22"/>
            <w:u w:val="single"/>
          </w:rPr>
          <w:t xml:space="preserve">Writing Center</w:t>
        </w:r>
      </w:hyperlink>
    </w:p>
    <w:p>
      <w:pPr>
        <w:spacing w:after="60" w:before="0" w:line="276"/>
      </w:pPr>
      <w:hyperlink w:history="1" r:id="rIdlumj0egyoeso22zathwj3">
        <w:r>
          <w:rPr>
            <w:rStyle w:val="Hyperlink"/>
            <w:rFonts w:ascii="Times New Roman" w:cs="Times New Roman" w:eastAsia="Times New Roman" w:hAnsi="Times New Roman"/>
            <w:color w:val="0563C1"/>
            <w:sz w:val="22"/>
            <w:szCs w:val="22"/>
            <w:u w:val="single"/>
          </w:rPr>
          <w:t xml:space="preserve">Learning Communities</w:t>
        </w:r>
      </w:hyperlink>
    </w:p>
    <w:p>
      <w:pPr>
        <w:keepNext/>
        <w:spacing w:after="140" w:before="280" w:line="276"/>
      </w:pPr>
      <w:r>
        <w:rPr>
          <w:rFonts w:ascii="Times New Roman" w:cs="Times New Roman" w:eastAsia="Times New Roman" w:hAnsi="Times New Roman"/>
          <w:b/>
          <w:bCs/>
          <w:sz w:val="26"/>
          <w:szCs w:val="26"/>
        </w:rPr>
        <w:t xml:space="preserve">Accommodations for Students with Disability/Special Needs</w:t>
      </w:r>
    </w:p>
    <w:p>
      <w:pPr>
        <w:spacing w:after="120" w:before="0" w:line="276"/>
      </w:pPr>
      <w:r>
        <w:rPr>
          <w:rFonts w:ascii="Times New Roman" w:cs="Times New Roman" w:eastAsia="Times New Roman" w:hAnsi="Times New Roman"/>
          <w:sz w:val="22"/>
          <w:szCs w:val="22"/>
        </w:rPr>
        <w:t xml:space="preserve">In accordance with Section 504 of the Rehabilitation Act of 1973 and the Americans with Disabilities Act of 1990, including changes made by the Americans with Disabilities Amendments Act of 2008, the Long Island University does not discriminate against qualified individuals with disabilities. If you are a student with a documented disability/impairment (Psychological, Neurological, Chronic Medical, Learning Disability, Sensory, Physical) and require reasonable accommodations, please provide me with an Accommodation Letter from Student Support Services (see below for contact information).</w:t>
      </w:r>
    </w:p>
    <w:p>
      <w:pPr>
        <w:spacing w:after="40" w:before="0" w:line="276"/>
      </w:pPr>
      <w:r>
        <w:rPr>
          <w:rFonts w:ascii="Times New Roman" w:cs="Times New Roman" w:eastAsia="Times New Roman" w:hAnsi="Times New Roman"/>
          <w:sz w:val="22"/>
          <w:szCs w:val="22"/>
        </w:rPr>
        <w:t xml:space="preserve">Location: Sloan Building – 1st Floor</w:t>
      </w:r>
    </w:p>
    <w:p>
      <w:pPr>
        <w:spacing w:after="40" w:before="0" w:line="276"/>
      </w:pPr>
      <w:r>
        <w:rPr>
          <w:rFonts w:ascii="Times New Roman" w:cs="Times New Roman" w:eastAsia="Times New Roman" w:hAnsi="Times New Roman"/>
          <w:sz w:val="22"/>
          <w:szCs w:val="22"/>
        </w:rPr>
        <w:t xml:space="preserve">Contact Number: (718) 488-1044</w:t>
      </w:r>
    </w:p>
    <w:p>
      <w:pPr>
        <w:spacing w:after="40" w:before="0" w:line="276"/>
      </w:pPr>
      <w:r>
        <w:rPr>
          <w:rFonts w:ascii="Times New Roman" w:cs="Times New Roman" w:eastAsia="Times New Roman" w:hAnsi="Times New Roman"/>
          <w:sz w:val="22"/>
          <w:szCs w:val="22"/>
        </w:rPr>
        <w:t xml:space="preserve">Hours of operation: Monday – Friday 9am-5pm</w:t>
      </w:r>
    </w:p>
    <w:p>
      <w:pPr>
        <w:spacing w:after="120" w:before="0" w:line="276"/>
      </w:pPr>
      <w:r>
        <w:rPr>
          <w:rFonts w:ascii="Times New Roman" w:cs="Times New Roman" w:eastAsia="Times New Roman" w:hAnsi="Times New Roman"/>
          <w:sz w:val="22"/>
          <w:szCs w:val="22"/>
        </w:rPr>
        <w:t xml:space="preserve">Email address: </w:t>
      </w:r>
      <w:hyperlink w:history="1" r:id="rIdblxqmnl89gnvbc498ht79">
        <w:r>
          <w:rPr>
            <w:rStyle w:val="Hyperlink"/>
            <w:rFonts w:ascii="Times New Roman" w:cs="Times New Roman" w:eastAsia="Times New Roman" w:hAnsi="Times New Roman"/>
            <w:color w:val="0563C1"/>
            <w:sz w:val="22"/>
            <w:szCs w:val="22"/>
            <w:u w:val="single"/>
          </w:rPr>
          <w:t xml:space="preserve">studentsupportservices@brooklyn.liu.edu</w:t>
        </w:r>
      </w:hyperlink>
    </w:p>
    <w:p>
      <w:pPr>
        <w:keepNext/>
        <w:spacing w:after="140" w:before="280" w:line="276"/>
      </w:pPr>
      <w:r>
        <w:rPr>
          <w:rFonts w:ascii="Times New Roman" w:cs="Times New Roman" w:eastAsia="Times New Roman" w:hAnsi="Times New Roman"/>
          <w:b/>
          <w:bCs/>
          <w:sz w:val="26"/>
          <w:szCs w:val="26"/>
        </w:rPr>
        <w:t xml:space="preserve">Student Grievance Procedure</w:t>
      </w:r>
    </w:p>
    <w:p>
      <w:pPr>
        <w:spacing w:after="120" w:before="0" w:line="276"/>
      </w:pPr>
      <w:r>
        <w:rPr>
          <w:rFonts w:ascii="Times New Roman" w:cs="Times New Roman" w:eastAsia="Times New Roman" w:hAnsi="Times New Roman"/>
          <w:sz w:val="22"/>
          <w:szCs w:val="22"/>
        </w:rPr>
        <w:t xml:space="preserve">The procedure for resolving student grievances is outlined in the Brooklyn Campus Undergraduate and Graduate Bulletins. Students are advised to adhere to the following steps:</w:t>
      </w:r>
    </w:p>
    <w:p>
      <w:pPr>
        <w:pStyle w:val="ListParagraph"/>
        <w:numPr>
          <w:ilvl w:val="0"/>
          <w:numId w:val="2"/>
        </w:numPr>
        <w:spacing w:after="80" w:line="276"/>
      </w:pPr>
      <w:r>
        <w:rPr>
          <w:rFonts w:ascii="Times New Roman" w:cs="Times New Roman" w:eastAsia="Times New Roman" w:hAnsi="Times New Roman"/>
          <w:sz w:val="22"/>
          <w:szCs w:val="22"/>
        </w:rPr>
        <w:t xml:space="preserve">Students must first speak directly with the involved instructor or student to resolve the problem.</w:t>
      </w:r>
    </w:p>
    <w:p>
      <w:pPr>
        <w:pStyle w:val="ListParagraph"/>
        <w:numPr>
          <w:ilvl w:val="0"/>
          <w:numId w:val="2"/>
        </w:numPr>
        <w:spacing w:after="80" w:line="276"/>
      </w:pPr>
      <w:r>
        <w:rPr>
          <w:rFonts w:ascii="Times New Roman" w:cs="Times New Roman" w:eastAsia="Times New Roman" w:hAnsi="Times New Roman"/>
          <w:sz w:val="22"/>
          <w:szCs w:val="22"/>
        </w:rPr>
        <w:t xml:space="preserve">If direct discussions fail, students may request a conference with their faculty advisor.</w:t>
      </w:r>
    </w:p>
    <w:p>
      <w:pPr>
        <w:pStyle w:val="ListParagraph"/>
        <w:numPr>
          <w:ilvl w:val="0"/>
          <w:numId w:val="2"/>
        </w:numPr>
        <w:spacing w:after="80" w:line="276"/>
      </w:pPr>
      <w:r>
        <w:rPr>
          <w:rFonts w:ascii="Times New Roman" w:cs="Times New Roman" w:eastAsia="Times New Roman" w:hAnsi="Times New Roman"/>
          <w:sz w:val="22"/>
          <w:szCs w:val="22"/>
        </w:rPr>
        <w:t xml:space="preserve">If step 2 is not successful in resolving the problem, students may request a conference with the Program Director/Department Chair.</w:t>
      </w:r>
    </w:p>
    <w:p>
      <w:pPr>
        <w:pStyle w:val="ListParagraph"/>
        <w:numPr>
          <w:ilvl w:val="0"/>
          <w:numId w:val="2"/>
        </w:numPr>
        <w:spacing w:after="80" w:line="276"/>
      </w:pPr>
      <w:r>
        <w:rPr>
          <w:rFonts w:ascii="Times New Roman" w:cs="Times New Roman" w:eastAsia="Times New Roman" w:hAnsi="Times New Roman"/>
          <w:sz w:val="22"/>
          <w:szCs w:val="22"/>
        </w:rPr>
        <w:t xml:space="preserve">If step 3 is not successful, students may submit a written request to discuss the matter with the Assistant Dean/Dean.</w:t>
      </w:r>
    </w:p>
    <w:p>
      <w:pPr>
        <w:keepNext/>
        <w:spacing w:after="140" w:before="280" w:line="276"/>
      </w:pPr>
      <w:r>
        <w:rPr>
          <w:rFonts w:ascii="Times New Roman" w:cs="Times New Roman" w:eastAsia="Times New Roman" w:hAnsi="Times New Roman"/>
          <w:b/>
          <w:bCs/>
          <w:sz w:val="26"/>
          <w:szCs w:val="26"/>
        </w:rPr>
        <w:t xml:space="preserve">Cancellation of Classes</w:t>
      </w:r>
    </w:p>
    <w:p>
      <w:pPr>
        <w:spacing w:after="120" w:before="0" w:line="276"/>
      </w:pPr>
      <w:r>
        <w:rPr>
          <w:rFonts w:ascii="Times New Roman" w:cs="Times New Roman" w:eastAsia="Times New Roman" w:hAnsi="Times New Roman"/>
          <w:sz w:val="22"/>
          <w:szCs w:val="22"/>
        </w:rPr>
        <w:t xml:space="preserve">In case of extremely bad weather, emergency or serious incident(s), students are encouraged to check the university website, course specific announcements, and/or LIU Safe App. Alternatively, one may call Campus Security at (718) 488-1071 to determine if the entire campus is closed.</w:t>
      </w:r>
    </w:p>
    <w:p>
      <w:pPr>
        <w:keepNext/>
        <w:spacing w:after="140" w:before="280" w:line="276"/>
      </w:pPr>
      <w:r>
        <w:rPr>
          <w:rFonts w:ascii="Times New Roman" w:cs="Times New Roman" w:eastAsia="Times New Roman" w:hAnsi="Times New Roman"/>
          <w:b/>
          <w:bCs/>
          <w:sz w:val="26"/>
          <w:szCs w:val="26"/>
        </w:rPr>
        <w:t xml:space="preserve">Student Affairs</w:t>
      </w:r>
    </w:p>
    <w:p>
      <w:pPr>
        <w:spacing w:after="120" w:before="0" w:line="276"/>
      </w:pPr>
      <w:r>
        <w:rPr>
          <w:rFonts w:ascii="Times New Roman" w:cs="Times New Roman" w:eastAsia="Times New Roman" w:hAnsi="Times New Roman"/>
          <w:sz w:val="22"/>
          <w:szCs w:val="22"/>
        </w:rPr>
        <w:t xml:space="preserve">For any questions regarding online accommodation and academic affairs, contact student affairs at: </w:t>
      </w:r>
      <w:hyperlink w:history="1" r:id="rIdb_uvytpmlozfutbkhpiu8">
        <w:r>
          <w:rPr>
            <w:rStyle w:val="Hyperlink"/>
            <w:rFonts w:ascii="Times New Roman" w:cs="Times New Roman" w:eastAsia="Times New Roman" w:hAnsi="Times New Roman"/>
            <w:color w:val="0563C1"/>
            <w:sz w:val="22"/>
            <w:szCs w:val="22"/>
            <w:u w:val="single"/>
          </w:rPr>
          <w:t xml:space="preserve">studentaffairs@liu.edu</w:t>
        </w:r>
      </w:hyperlink>
    </w:p>
    <w:p>
      <w:pPr>
        <w:keepNext/>
        <w:spacing w:after="140" w:before="280" w:line="276"/>
      </w:pPr>
      <w:r>
        <w:rPr>
          <w:rFonts w:ascii="Times New Roman" w:cs="Times New Roman" w:eastAsia="Times New Roman" w:hAnsi="Times New Roman"/>
          <w:b/>
          <w:bCs/>
          <w:sz w:val="26"/>
          <w:szCs w:val="26"/>
        </w:rPr>
        <w:t xml:space="preserve">Technical issues</w:t>
      </w:r>
    </w:p>
    <w:p>
      <w:pPr>
        <w:spacing w:after="120" w:before="0" w:line="276"/>
      </w:pPr>
      <w:r>
        <w:rPr>
          <w:rFonts w:ascii="Times New Roman" w:cs="Times New Roman" w:eastAsia="Times New Roman" w:hAnsi="Times New Roman"/>
          <w:sz w:val="22"/>
          <w:szCs w:val="22"/>
        </w:rPr>
        <w:t xml:space="preserve">For any technical issues related to Brightspace (lms.liu.edu), LIU emails, Google Meet, or campus network access, contact IT as follows:</w:t>
      </w:r>
    </w:p>
    <w:p>
      <w:pPr>
        <w:spacing w:after="40" w:before="0" w:line="276"/>
      </w:pPr>
      <w:r>
        <w:rPr>
          <w:rFonts w:ascii="Times New Roman" w:cs="Times New Roman" w:eastAsia="Times New Roman" w:hAnsi="Times New Roman"/>
          <w:sz w:val="22"/>
          <w:szCs w:val="22"/>
        </w:rPr>
        <w:t xml:space="preserve">Email: </w:t>
      </w:r>
      <w:hyperlink w:history="1" r:id="rIdfljmgvx7haamgtvmhvrsj">
        <w:r>
          <w:rPr>
            <w:rStyle w:val="Hyperlink"/>
            <w:rFonts w:ascii="Times New Roman" w:cs="Times New Roman" w:eastAsia="Times New Roman" w:hAnsi="Times New Roman"/>
            <w:color w:val="0563C1"/>
            <w:sz w:val="22"/>
            <w:szCs w:val="22"/>
            <w:u w:val="single"/>
          </w:rPr>
          <w:t xml:space="preserve">It@liu.edu</w:t>
        </w:r>
      </w:hyperlink>
    </w:p>
    <w:p>
      <w:pPr>
        <w:spacing w:after="120" w:before="0" w:line="276"/>
      </w:pPr>
      <w:r>
        <w:rPr>
          <w:rFonts w:ascii="Times New Roman" w:cs="Times New Roman" w:eastAsia="Times New Roman" w:hAnsi="Times New Roman"/>
          <w:sz w:val="22"/>
          <w:szCs w:val="22"/>
        </w:rPr>
        <w:t xml:space="preserve">Phone: 718-488-3300 (Monday-Friday 9am to 5pm)</w:t>
      </w:r>
    </w:p>
    <w:p>
      <w:pPr>
        <w:keepNext/>
        <w:spacing w:after="140" w:before="280" w:line="276"/>
      </w:pPr>
      <w:r>
        <w:rPr>
          <w:rFonts w:ascii="Times New Roman" w:cs="Times New Roman" w:eastAsia="Times New Roman" w:hAnsi="Times New Roman"/>
          <w:b/>
          <w:bCs/>
          <w:sz w:val="26"/>
          <w:szCs w:val="26"/>
        </w:rPr>
        <w:t xml:space="preserve">Safety Issues</w:t>
      </w:r>
    </w:p>
    <w:p>
      <w:pPr>
        <w:spacing w:after="120" w:before="0" w:line="276"/>
      </w:pPr>
      <w:r>
        <w:rPr>
          <w:rFonts w:ascii="Times New Roman" w:cs="Times New Roman" w:eastAsia="Times New Roman" w:hAnsi="Times New Roman"/>
          <w:sz w:val="22"/>
          <w:szCs w:val="22"/>
        </w:rPr>
        <w:t xml:space="preserve">For safety issues, check the following link: </w:t>
      </w:r>
      <w:hyperlink w:history="1" r:id="rIdbtsblf0wlbc2fr1xbpdh1">
        <w:r>
          <w:rPr>
            <w:rStyle w:val="Hyperlink"/>
            <w:rFonts w:ascii="Times New Roman" w:cs="Times New Roman" w:eastAsia="Times New Roman" w:hAnsi="Times New Roman"/>
            <w:color w:val="0563C1"/>
            <w:sz w:val="22"/>
            <w:szCs w:val="22"/>
            <w:u w:val="single"/>
          </w:rPr>
          <w:t xml:space="preserve">https://www.liu.edu/brooklyn/public-safety</w:t>
        </w:r>
      </w:hyperlink>
    </w:p>
    <w:p>
      <w:pPr>
        <w:spacing w:after="120" w:before="0" w:line="276"/>
      </w:pPr>
      <w:r>
        <w:rPr>
          <w:rFonts w:ascii="Times New Roman" w:cs="Times New Roman" w:eastAsia="Times New Roman" w:hAnsi="Times New Roman"/>
          <w:sz w:val="22"/>
          <w:szCs w:val="22"/>
        </w:rPr>
        <w:t xml:space="preserve">Phone: 718-488-1078</w:t>
      </w:r>
    </w:p>
    <w:p>
      <w:pPr>
        <w:keepNext/>
        <w:spacing w:after="140" w:before="280" w:line="276"/>
      </w:pPr>
      <w:r>
        <w:rPr>
          <w:rFonts w:ascii="Times New Roman" w:cs="Times New Roman" w:eastAsia="Times New Roman" w:hAnsi="Times New Roman"/>
          <w:b/>
          <w:bCs/>
          <w:sz w:val="26"/>
          <w:szCs w:val="26"/>
        </w:rPr>
        <w:t xml:space="preserve">Grading Scale</w:t>
      </w:r>
    </w:p>
    <w:p>
      <w:pPr>
        <w:spacing w:after="120" w:before="0" w:line="276"/>
      </w:pPr>
      <w:r>
        <w:rPr>
          <w:rFonts w:ascii="Times New Roman" w:cs="Times New Roman" w:eastAsia="Times New Roman" w:hAnsi="Times New Roman"/>
          <w:sz w:val="22"/>
          <w:szCs w:val="22"/>
        </w:rPr>
        <w:t xml:space="preserve">Grades are distributed according to the following LIU grading scale.</w:t>
      </w:r>
    </w:p>
    <w:tbl>
      <w:tblPr>
        <w:tblW w:type="dxa" w:w="6500"/>
        <w:jc w:val="center"/>
        <w:tblBorders>
          <w:top w:val="single" w:color="auto" w:sz="4"/>
          <w:left w:val="single" w:color="auto" w:sz="4"/>
          <w:bottom w:val="single" w:color="auto" w:sz="4"/>
          <w:right w:val="single" w:color="auto" w:sz="4"/>
          <w:insideH w:val="single" w:color="auto" w:sz="4"/>
          <w:insideV w:val="single" w:color="auto" w:sz="4"/>
        </w:tblBorders>
      </w:tblPr>
      <w:tblGrid>
        <w:gridCol w:w="1800"/>
        <w:gridCol w:w="1500"/>
        <w:gridCol w:w="1400"/>
        <w:gridCol w:w="1800"/>
      </w:tblGrid>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19"/>
                <w:szCs w:val="19"/>
              </w:rPr>
              <w:t xml:space="preserve">UNDERGRADUATE</w:t>
            </w:r>
          </w:p>
        </w:tc>
        <w:tc>
          <w:tcPr>
            <w:tcW w:type="dxa" w:w="1500"/>
            <w:tcBorders>
              <w:top w:val="none"/>
              <w:left w:val="single" w:color="000000" w:sz="4"/>
              <w:bottom w:val="single" w:color="000000" w:sz="4"/>
              <w:right w:val="none"/>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c>
          <w:tcPr>
            <w:tcW w:type="dxa" w:w="1400"/>
            <w:tcBorders>
              <w:top w:val="none"/>
              <w:left w:val="none"/>
              <w:bottom w:val="single" w:color="000000" w:sz="4"/>
              <w:right w:val="none"/>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c>
          <w:tcPr>
            <w:tcW w:type="dxa" w:w="1800"/>
            <w:tcBorders>
              <w:top w:val="none"/>
              <w:left w:val="none"/>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r>
      <w:tr>
        <w:trPr>
          <w:tblHeader/>
        </w:trPr>
        <w:tc>
          <w:tcPr>
            <w:tcW w:type="dxa" w:w="18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19"/>
                <w:szCs w:val="19"/>
              </w:rPr>
              <w:t xml:space="preserve">Quality</w:t>
            </w:r>
          </w:p>
        </w:tc>
        <w:tc>
          <w:tcPr>
            <w:tcW w:type="dxa" w:w="15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Letter Grade</w:t>
            </w:r>
          </w:p>
        </w:tc>
        <w:tc>
          <w:tcPr>
            <w:tcW w:type="dxa" w:w="14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Range %</w:t>
            </w:r>
          </w:p>
        </w:tc>
        <w:tc>
          <w:tcPr>
            <w:tcW w:type="dxa" w:w="18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GPA/ Quality Pts.</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Outstanding</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93 - 100</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4</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Excellent</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90 - 92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Very Good</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87 - 89</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3.33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83 - 86</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Nearly 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80 - 82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Below 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77 - 79</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2.33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Marginal</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73 - 76</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Poor</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68 - 72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1.67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Unacceptable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D</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60 - 67</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1</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Failing</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&lt; 60</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0</w:t>
            </w:r>
          </w:p>
        </w:tc>
      </w:tr>
    </w:tbl>
    <w:p>
      <w:pPr>
        <w:keepNext/>
        <w:spacing w:after="140" w:before="280" w:line="276"/>
      </w:pPr>
      <w:r>
        <w:rPr>
          <w:rFonts w:ascii="Times New Roman" w:cs="Times New Roman" w:eastAsia="Times New Roman" w:hAnsi="Times New Roman"/>
          <w:b/>
          <w:bCs/>
          <w:sz w:val="26"/>
          <w:szCs w:val="26"/>
        </w:rPr>
        <w:t xml:space="preserve">Grading Rubrics</w:t>
      </w:r>
    </w:p>
    <w:p>
      <w:pPr>
        <w:spacing w:after="120" w:before="0" w:line="276"/>
      </w:pPr>
      <w:r>
        <w:rPr>
          <w:rFonts w:ascii="Times New Roman" w:cs="Times New Roman" w:eastAsia="Times New Roman" w:hAnsi="Times New Roman"/>
          <w:sz w:val="22"/>
          <w:szCs w:val="22"/>
        </w:rPr>
        <w:t xml:space="preserve">The following grading rubrics correspond to the four required projects. Each project rubric is released with its specification and is weighted as follows.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400"/>
        <w:gridCol w:w="3760"/>
      </w:tblGrid>
      <w:tr>
        <w:trPr>
          <w:tblHeader/>
        </w:trPr>
        <w:tc>
          <w:tcPr>
            <w:tcW w:type="dxa" w:w="42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Criterion</w:t>
            </w:r>
          </w:p>
        </w:tc>
        <w:tc>
          <w:tcPr>
            <w:tcW w:type="dxa" w:w="14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Weight</w:t>
            </w:r>
          </w:p>
        </w:tc>
        <w:tc>
          <w:tcPr>
            <w:tcW w:type="dxa" w:w="376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What is assessed</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Correctness and completeness</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35%</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artifact does what the specification requires, and the required cases are handled.</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Implementation quality</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20%</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Structure, readability, and evidence of testing. Commit history shows sustained individual work.</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Analysis and written report</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25%</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report explains the design, justifies the decisions, and reports results honestly, including what did not work.</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Demonstration and defense</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20%</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student can run the artifact live and answer questions about any part of it.</w:t>
            </w:r>
          </w:p>
        </w:tc>
      </w:tr>
      <w:tr>
        <w:tc>
          <w:tcPr>
            <w:tcW w:type="dxa" w:w="42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TOTAL</w:t>
            </w:r>
          </w:p>
        </w:tc>
        <w:tc>
          <w:tcPr>
            <w:tcW w:type="dxa" w:w="1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100%</w:t>
            </w:r>
          </w:p>
        </w:tc>
        <w:tc>
          <w:tcPr>
            <w:tcW w:type="dxa" w:w="376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9mkfskxdw_ax8qza7wdjw" Type="http://schemas.openxmlformats.org/officeDocument/2006/relationships/hyperlink" Target="mailto:yair.chaya@liu.edu" TargetMode="External"/><Relationship Id="rIdt5_9esplajh6bpvy2zu2o" Type="http://schemas.openxmlformats.org/officeDocument/2006/relationships/hyperlink" Target="https://meet.google.com/apd-eubc-upk" TargetMode="External"/><Relationship Id="rIdidorf7h4l6ge1t3b-00p-" Type="http://schemas.openxmlformats.org/officeDocument/2006/relationships/hyperlink" Target="https://tel.meet/apd-eubc-upk?pin=4480465109182" TargetMode="External"/><Relationship Id="rIdaebwmfe6kgn0jsmequgky" Type="http://schemas.openxmlformats.org/officeDocument/2006/relationships/hyperlink" Target="https://lms.liu.edu" TargetMode="External"/><Relationship Id="rIdomneix3fh7e_1nvyqtch9" Type="http://schemas.openxmlformats.org/officeDocument/2006/relationships/hyperlink" Target="https://www.liu.edu/brooklyn/Enrollment-Services/Registration/Academic-Calendar" TargetMode="External"/><Relationship Id="rIdmiglgbdti6fo5kbhrkfs2" Type="http://schemas.openxmlformats.org/officeDocument/2006/relationships/hyperlink" Target="http://liu.brooklyn.libguides.com/avoid-detect-plagiarism" TargetMode="External"/><Relationship Id="rId0k5pbninxejglm3qap-ak" Type="http://schemas.openxmlformats.org/officeDocument/2006/relationships/hyperlink" Target="http://www.liu.edu/Brooklyn/Enrollment-Services/Registration/Academic-Bulletins" TargetMode="External"/><Relationship Id="rIdk91kxikrsfpc37djzp72j" Type="http://schemas.openxmlformats.org/officeDocument/2006/relationships/hyperlink" Target="https://www.liu.edu/Human-Resources/Human-Resources-Policies/Anti-Harassment-Discrimination-Policy" TargetMode="External"/><Relationship Id="rIdwoz0rjm8j5h3jfc4xwfsb" Type="http://schemas.openxmlformats.org/officeDocument/2006/relationships/hyperlink" Target="https://www.liu.edu/brooklyn/Enrollment-Services" TargetMode="External"/><Relationship Id="rId6ov74zndbwam1cn0oqs4h" Type="http://schemas.openxmlformats.org/officeDocument/2006/relationships/hyperlink" Target="https://www.liu.edu/brooklyn/Academics/Writing-Center" TargetMode="External"/><Relationship Id="rIdlumj0egyoeso22zathwj3" Type="http://schemas.openxmlformats.org/officeDocument/2006/relationships/hyperlink" Target="https://www.liu.edu/brooklyn/Academics" TargetMode="External"/><Relationship Id="rIdblxqmnl89gnvbc498ht79" Type="http://schemas.openxmlformats.org/officeDocument/2006/relationships/hyperlink" Target="mailto:studentsupportservices@brooklyn.liu.edu" TargetMode="External"/><Relationship Id="rIdb_uvytpmlozfutbkhpiu8" Type="http://schemas.openxmlformats.org/officeDocument/2006/relationships/hyperlink" Target="mailto:studentaffairs@liu.edu" TargetMode="External"/><Relationship Id="rIdfljmgvx7haamgtvmhvrsj" Type="http://schemas.openxmlformats.org/officeDocument/2006/relationships/hyperlink" Target="mailto:It@liu.edu" TargetMode="External"/><Relationship Id="rIdbtsblf0wlbc2fr1xbpdh1" Type="http://schemas.openxmlformats.org/officeDocument/2006/relationships/hyperlink" Target="https://www.liu.edu/brooklyn/public-safety" TargetMode="External"/><Relationship Id="rId8" Type="http://schemas.openxmlformats.org/officeDocument/2006/relationships/image" Target="media/140f75d0dcb3b8d1888f4707c93525eba18910fa.png"/><Relationship Id="rId2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ENGR 255 Physical Foundations of Digital Engineering — Syllabus, Fall 2026</dc:title>
  <dc:creator>Professor Yair Chaya</dc:creator>
  <dc:description>Course syllabus for ENGR 255 Physical Foundations of Digital Engineering, Long Island University Brooklyn, Fall 2026</dc:description>
  <cp:lastModifiedBy>Un-named</cp:lastModifiedBy>
  <cp:revision>1</cp:revision>
  <dcterms:created xsi:type="dcterms:W3CDTF">2026-09-02T02:50:00.993Z</dcterms:created>
  <dcterms:modified xsi:type="dcterms:W3CDTF">2026-09-02T02:50:00.993Z</dcterms:modified>
</cp:coreProperties>
</file>

<file path=docProps/custom.xml><?xml version="1.0" encoding="utf-8"?>
<Properties xmlns="http://schemas.openxmlformats.org/officeDocument/2006/custom-properties" xmlns:vt="http://schemas.openxmlformats.org/officeDocument/2006/docPropsVTypes"/>
</file>