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line="240" w:lineRule="auto"/>
        <w:jc w:val="center"/>
      </w:pPr>
      <w:r>
        <w:drawing>
          <wp:inline distT="0" distB="0" distL="0" distR="0">
            <wp:extent cx="3048000" cy="409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048000" cy="409575"/>
                    </a:xfrm>
                    <a:prstGeom prst="rect">
                      <a:avLst/>
                    </a:prstGeom>
                  </pic:spPr>
                </pic:pic>
              </a:graphicData>
            </a:graphic>
          </wp:inline>
        </w:drawing>
      </w:r>
    </w:p>
    <w:p>
      <w:pPr>
        <w:spacing w:after="160"/>
        <w:jc w:val="center"/>
      </w:pPr>
      <w:r>
        <w:rPr>
          <w:rFonts w:ascii="Times New Roman" w:cs="Times New Roman" w:eastAsia="Times New Roman" w:hAnsi="Times New Roman"/>
          <w:b/>
          <w:bCs/>
          <w:sz w:val="34"/>
          <w:szCs w:val="34"/>
        </w:rPr>
        <w:t xml:space="preserve">AI 255</w:t>
      </w:r>
    </w:p>
    <w:p>
      <w:pPr>
        <w:spacing w:after="100"/>
        <w:jc w:val="center"/>
      </w:pPr>
      <w:r>
        <w:rPr>
          <w:rFonts w:ascii="Times New Roman" w:cs="Times New Roman" w:eastAsia="Times New Roman" w:hAnsi="Times New Roman"/>
          <w:b/>
          <w:bCs/>
          <w:sz w:val="32"/>
          <w:szCs w:val="32"/>
        </w:rPr>
        <w:t xml:space="preserve">Cloud Computing Concepts</w:t>
      </w:r>
    </w:p>
    <w:p>
      <w:pPr>
        <w:spacing w:after="240"/>
        <w:jc w:val="center"/>
      </w:pPr>
      <w:r>
        <w:rPr>
          <w:rFonts w:ascii="Times New Roman" w:cs="Times New Roman" w:eastAsia="Times New Roman" w:hAnsi="Times New Roman"/>
          <w:sz w:val="22"/>
          <w:szCs w:val="22"/>
        </w:rPr>
        <w:t xml:space="preserve">Section 001 — Class # 4436 — Llab</w:t>
      </w:r>
    </w:p>
    <w:p>
      <w:pPr>
        <w:keepNext/>
        <w:spacing w:after="140" w:before="280" w:line="276"/>
      </w:pPr>
      <w:r>
        <w:rPr>
          <w:rFonts w:ascii="Times New Roman" w:cs="Times New Roman" w:eastAsia="Times New Roman" w:hAnsi="Times New Roman"/>
          <w:b/>
          <w:bCs/>
          <w:sz w:val="26"/>
          <w:szCs w:val="26"/>
        </w:rPr>
        <w:t xml:space="preserve">Faculty Info + Office Hours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left w:val="none"/>
              <w:bottom w:val="none"/>
              <w:right w:val="none"/>
            </w:tcBorders>
            <w:tcMar>
              <w:top w:type="dxa" w:w="60"/>
              <w:left w:type="dxa" w:w="100"/>
              <w:bottom w:type="dxa" w:w="60"/>
              <w:right w:type="dxa" w:w="100"/>
            </w:tcMar>
            <w:vAlign w:val="top"/>
          </w:tcPr>
          <w:p>
            <w:pPr>
              <w:spacing w:after="60" w:before="0" w:line="276"/>
            </w:pPr>
            <w:r>
              <w:rPr>
                <w:rFonts w:ascii="Times New Roman" w:cs="Times New Roman" w:eastAsia="Times New Roman" w:hAnsi="Times New Roman"/>
                <w:b/>
                <w:bCs/>
                <w:sz w:val="22"/>
                <w:szCs w:val="22"/>
              </w:rPr>
              <w:t xml:space="preserve">Name: </w:t>
            </w:r>
            <w:r>
              <w:rPr>
                <w:rFonts w:ascii="Times New Roman" w:cs="Times New Roman" w:eastAsia="Times New Roman" w:hAnsi="Times New Roman"/>
                <w:sz w:val="22"/>
                <w:szCs w:val="22"/>
              </w:rPr>
              <w:t xml:space="preserve">Professor Yair Chaya</w:t>
            </w:r>
          </w:p>
          <w:p>
            <w:pPr>
              <w:spacing w:after="60" w:before="0" w:line="276"/>
            </w:pPr>
            <w:r>
              <w:rPr>
                <w:rFonts w:ascii="Times New Roman" w:cs="Times New Roman" w:eastAsia="Times New Roman" w:hAnsi="Times New Roman"/>
                <w:b/>
                <w:bCs/>
                <w:sz w:val="22"/>
                <w:szCs w:val="22"/>
              </w:rPr>
              <w:t xml:space="preserve">Email: </w:t>
            </w:r>
            <w:hyperlink w:history="1" r:id="rIdvvydxciqrfdxrzqdzzazo">
              <w:r>
                <w:rPr>
                  <w:rStyle w:val="Hyperlink"/>
                  <w:rFonts w:ascii="Times New Roman" w:cs="Times New Roman" w:eastAsia="Times New Roman" w:hAnsi="Times New Roman"/>
                  <w:color w:val="0563C1"/>
                  <w:sz w:val="22"/>
                  <w:szCs w:val="22"/>
                  <w:u w:val="single"/>
                </w:rPr>
                <w:t xml:space="preserve">yair.chaya@liu.edu</w:t>
              </w:r>
            </w:hyperlink>
          </w:p>
          <w:p>
            <w:pPr>
              <w:spacing w:after="0" w:before="0" w:line="276"/>
            </w:pPr>
            <w:r>
              <w:rPr>
                <w:rFonts w:ascii="Times New Roman" w:cs="Times New Roman" w:eastAsia="Times New Roman" w:hAnsi="Times New Roman"/>
                <w:b/>
                <w:bCs/>
                <w:sz w:val="22"/>
                <w:szCs w:val="22"/>
              </w:rPr>
              <w:t xml:space="preserve">Phone: </w:t>
            </w:r>
            <w:r>
              <w:rPr>
                <w:rFonts w:ascii="Times New Roman" w:cs="Times New Roman" w:eastAsia="Times New Roman" w:hAnsi="Times New Roman"/>
                <w:sz w:val="22"/>
                <w:szCs w:val="22"/>
              </w:rPr>
              <w:t xml:space="preserve">718-864-1753</w:t>
            </w:r>
          </w:p>
        </w:tc>
        <w:tc>
          <w:tcPr>
            <w:tcW w:type="dxa" w:w="4680"/>
            <w:tcBorders>
              <w:top w:val="none"/>
              <w:left w:val="none"/>
              <w:bottom w:val="none"/>
              <w:right w:val="none"/>
            </w:tcBorders>
            <w:tcMar>
              <w:top w:type="dxa" w:w="60"/>
              <w:left w:type="dxa" w:w="100"/>
              <w:bottom w:type="dxa" w:w="60"/>
              <w:right w:type="dxa" w:w="100"/>
            </w:tcMar>
            <w:vAlign w:val="top"/>
          </w:tcPr>
          <w:p>
            <w:pPr>
              <w:spacing w:after="60" w:before="0" w:line="276"/>
            </w:pPr>
            <w:r>
              <w:rPr>
                <w:rFonts w:ascii="Times New Roman" w:cs="Times New Roman" w:eastAsia="Times New Roman" w:hAnsi="Times New Roman"/>
                <w:b/>
                <w:bCs/>
                <w:sz w:val="22"/>
                <w:szCs w:val="22"/>
              </w:rPr>
              <w:t xml:space="preserve">Office Hours: </w:t>
            </w:r>
            <w:r>
              <w:rPr>
                <w:rFonts w:ascii="Times New Roman" w:cs="Times New Roman" w:eastAsia="Times New Roman" w:hAnsi="Times New Roman"/>
                <w:sz w:val="22"/>
                <w:szCs w:val="22"/>
              </w:rPr>
              <w:t xml:space="preserve">Virtual, by appointment. Email to schedule.</w:t>
            </w:r>
          </w:p>
          <w:p>
            <w:pPr>
              <w:spacing w:after="0" w:before="0" w:line="276"/>
            </w:pPr>
            <w:r>
              <w:rPr>
                <w:rFonts w:ascii="Times New Roman" w:cs="Times New Roman" w:eastAsia="Times New Roman" w:hAnsi="Times New Roman"/>
                <w:sz w:val="22"/>
                <w:szCs w:val="22"/>
              </w:rPr>
              <w:t xml:space="preserve">Preferred Method of Communication: Best reached by email. Expect a reply within 24 hours.</w:t>
            </w:r>
          </w:p>
        </w:tc>
      </w:tr>
    </w:tbl>
    <w:p>
      <w:pPr>
        <w:keepNext/>
        <w:spacing w:after="140" w:before="280" w:line="276"/>
      </w:pPr>
      <w:r>
        <w:rPr>
          <w:rFonts w:ascii="Times New Roman" w:cs="Times New Roman" w:eastAsia="Times New Roman" w:hAnsi="Times New Roman"/>
          <w:b/>
          <w:bCs/>
          <w:sz w:val="26"/>
          <w:szCs w:val="26"/>
        </w:rPr>
        <w:t xml:space="preserve">Prerequisite + Credits</w:t>
      </w:r>
    </w:p>
    <w:p>
      <w:pPr>
        <w:spacing w:after="40" w:before="0" w:line="276"/>
      </w:pPr>
      <w:r>
        <w:rPr>
          <w:rFonts w:ascii="Times New Roman" w:cs="Times New Roman" w:eastAsia="Times New Roman" w:hAnsi="Times New Roman"/>
          <w:sz w:val="22"/>
          <w:szCs w:val="22"/>
        </w:rPr>
        <w:t xml:space="preserve">Three credits.</w:t>
      </w:r>
    </w:p>
    <w:p>
      <w:pPr>
        <w:spacing w:after="40" w:before="0" w:line="276"/>
      </w:pPr>
      <w:r>
        <w:rPr>
          <w:rFonts w:ascii="Times New Roman" w:cs="Times New Roman" w:eastAsia="Times New Roman" w:hAnsi="Times New Roman"/>
          <w:sz w:val="22"/>
          <w:szCs w:val="22"/>
        </w:rPr>
        <w:t xml:space="preserve">Course-hours distribution: (3, 2, 2)</w:t>
      </w:r>
    </w:p>
    <w:p>
      <w:pPr>
        <w:spacing w:after="120" w:before="0" w:line="276"/>
      </w:pPr>
      <w:r>
        <w:rPr>
          <w:rFonts w:ascii="Times New Roman" w:cs="Times New Roman" w:eastAsia="Times New Roman" w:hAnsi="Times New Roman"/>
          <w:sz w:val="22"/>
          <w:szCs w:val="22"/>
        </w:rPr>
        <w:t xml:space="preserve">Prerequisites: Programming proficiency in a language of the student’s choice and basic familiarity with the command line, or permission of the instructor. See the current course bulletin for the official prerequisite listing.</w:t>
      </w:r>
    </w:p>
    <w:p>
      <w:pPr>
        <w:keepNext/>
        <w:spacing w:after="140" w:before="280" w:line="276"/>
      </w:pPr>
      <w:r>
        <w:rPr>
          <w:rFonts w:ascii="Times New Roman" w:cs="Times New Roman" w:eastAsia="Times New Roman" w:hAnsi="Times New Roman"/>
          <w:b/>
          <w:bCs/>
          <w:sz w:val="26"/>
          <w:szCs w:val="26"/>
        </w:rPr>
        <w:t xml:space="preserve">Dates + Time + Location + Format</w:t>
      </w:r>
    </w:p>
    <w:p>
      <w:pPr>
        <w:spacing w:after="40" w:before="0" w:line="276"/>
      </w:pPr>
      <w:r>
        <w:rPr>
          <w:rFonts w:ascii="Times New Roman" w:cs="Times New Roman" w:eastAsia="Times New Roman" w:hAnsi="Times New Roman"/>
          <w:b/>
          <w:bCs/>
          <w:sz w:val="22"/>
          <w:szCs w:val="22"/>
        </w:rPr>
        <w:t xml:space="preserve">Term: </w:t>
      </w:r>
      <w:r>
        <w:rPr>
          <w:rFonts w:ascii="Times New Roman" w:cs="Times New Roman" w:eastAsia="Times New Roman" w:hAnsi="Times New Roman"/>
          <w:sz w:val="22"/>
          <w:szCs w:val="22"/>
        </w:rPr>
        <w:t xml:space="preserve">09/02/2026 – 12/21/2026 (Fall 2026)</w:t>
      </w:r>
    </w:p>
    <w:p>
      <w:pPr>
        <w:spacing w:after="40" w:before="0" w:line="276"/>
      </w:pPr>
      <w:r>
        <w:rPr>
          <w:rFonts w:ascii="Times New Roman" w:cs="Times New Roman" w:eastAsia="Times New Roman" w:hAnsi="Times New Roman"/>
          <w:b/>
          <w:bCs/>
          <w:sz w:val="22"/>
          <w:szCs w:val="22"/>
        </w:rPr>
        <w:t xml:space="preserve">Meetings: </w:t>
      </w:r>
      <w:r>
        <w:rPr>
          <w:rFonts w:ascii="Times New Roman" w:cs="Times New Roman" w:eastAsia="Times New Roman" w:hAnsi="Times New Roman"/>
          <w:sz w:val="22"/>
          <w:szCs w:val="22"/>
        </w:rPr>
        <w:t xml:space="preserve">Monday &amp; Wednesday, 4:00 PM – 5:50 PM</w:t>
      </w:r>
    </w:p>
    <w:p>
      <w:pPr>
        <w:spacing w:after="40" w:before="0" w:line="276"/>
      </w:pPr>
      <w:r>
        <w:rPr>
          <w:rFonts w:ascii="Times New Roman" w:cs="Times New Roman" w:eastAsia="Times New Roman" w:hAnsi="Times New Roman"/>
          <w:b/>
          <w:bCs/>
          <w:sz w:val="22"/>
          <w:szCs w:val="22"/>
        </w:rPr>
        <w:t xml:space="preserve">Room of record: </w:t>
      </w:r>
      <w:r>
        <w:rPr>
          <w:rFonts w:ascii="Times New Roman" w:cs="Times New Roman" w:eastAsia="Times New Roman" w:hAnsi="Times New Roman"/>
          <w:sz w:val="22"/>
          <w:szCs w:val="22"/>
        </w:rPr>
        <w:t xml:space="preserve">Metcalfe 419 (course is delivered online; room is reserved and used only if an in-person session is announced)</w:t>
      </w:r>
    </w:p>
    <w:p>
      <w:pPr>
        <w:spacing w:after="120" w:before="0" w:line="276"/>
      </w:pPr>
      <w:r>
        <w:rPr>
          <w:rFonts w:ascii="Times New Roman" w:cs="Times New Roman" w:eastAsia="Times New Roman" w:hAnsi="Times New Roman"/>
          <w:b/>
          <w:bCs/>
          <w:sz w:val="22"/>
          <w:szCs w:val="22"/>
        </w:rPr>
        <w:t xml:space="preserve">Format: </w:t>
      </w:r>
      <w:r>
        <w:rPr>
          <w:rFonts w:ascii="Times New Roman" w:cs="Times New Roman" w:eastAsia="Times New Roman" w:hAnsi="Times New Roman"/>
          <w:sz w:val="22"/>
          <w:szCs w:val="22"/>
        </w:rPr>
        <w:t xml:space="preserve">Online instruction. All class sessions are synchronous and held live over Google Meet at the scheduled meeting times. Attendance at the live sessions is expected; sessions are working sessions in which project work is developed, demonstrated, and critiqued.</w:t>
      </w:r>
    </w:p>
    <w:p>
      <w:pPr>
        <w:spacing w:after="40" w:before="0" w:line="276"/>
      </w:pPr>
      <w:r>
        <w:rPr>
          <w:rFonts w:ascii="Times New Roman" w:cs="Times New Roman" w:eastAsia="Times New Roman" w:hAnsi="Times New Roman"/>
          <w:b/>
          <w:bCs/>
          <w:sz w:val="22"/>
          <w:szCs w:val="22"/>
        </w:rPr>
        <w:t xml:space="preserve">Google Meet link: </w:t>
      </w:r>
      <w:hyperlink w:history="1" r:id="rIdc0roejjm77jhlvuztd81y">
        <w:r>
          <w:rPr>
            <w:rStyle w:val="Hyperlink"/>
            <w:rFonts w:ascii="Times New Roman" w:cs="Times New Roman" w:eastAsia="Times New Roman" w:hAnsi="Times New Roman"/>
            <w:color w:val="0563C1"/>
            <w:sz w:val="22"/>
            <w:szCs w:val="22"/>
            <w:u w:val="single"/>
          </w:rPr>
          <w:t xml:space="preserve">https://meet.google.com/wqr-ydtt-tnf</w:t>
        </w:r>
      </w:hyperlink>
    </w:p>
    <w:p>
      <w:pPr>
        <w:spacing w:after="40" w:before="0" w:line="276"/>
      </w:pPr>
      <w:r>
        <w:rPr>
          <w:rFonts w:ascii="Times New Roman" w:cs="Times New Roman" w:eastAsia="Times New Roman" w:hAnsi="Times New Roman"/>
          <w:b/>
          <w:bCs/>
          <w:sz w:val="22"/>
          <w:szCs w:val="22"/>
        </w:rPr>
        <w:t xml:space="preserve">Or dial in (US): </w:t>
      </w:r>
      <w:r>
        <w:rPr>
          <w:rFonts w:ascii="Times New Roman" w:cs="Times New Roman" w:eastAsia="Times New Roman" w:hAnsi="Times New Roman"/>
          <w:sz w:val="22"/>
          <w:szCs w:val="22"/>
        </w:rPr>
        <w:t xml:space="preserve">+1 318-519-1293  —  PIN: 274 415 158#</w:t>
      </w:r>
    </w:p>
    <w:p>
      <w:pPr>
        <w:spacing w:after="120" w:before="0" w:line="276"/>
      </w:pPr>
      <w:r>
        <w:rPr>
          <w:rFonts w:ascii="Times New Roman" w:cs="Times New Roman" w:eastAsia="Times New Roman" w:hAnsi="Times New Roman"/>
          <w:b/>
          <w:bCs/>
          <w:sz w:val="22"/>
          <w:szCs w:val="22"/>
        </w:rPr>
        <w:t xml:space="preserve">More phone numbers: </w:t>
      </w:r>
      <w:hyperlink w:history="1" r:id="rId4rrclx4qnrmak8bjiawyd">
        <w:r>
          <w:rPr>
            <w:rStyle w:val="Hyperlink"/>
            <w:rFonts w:ascii="Times New Roman" w:cs="Times New Roman" w:eastAsia="Times New Roman" w:hAnsi="Times New Roman"/>
            <w:color w:val="0563C1"/>
            <w:sz w:val="22"/>
            <w:szCs w:val="22"/>
            <w:u w:val="single"/>
          </w:rPr>
          <w:t xml:space="preserve">https://tel.meet/wqr-ydtt-tnf?pin=3979234942786</w:t>
        </w:r>
      </w:hyperlink>
    </w:p>
    <w:p>
      <w:pPr>
        <w:spacing w:after="40" w:before="0" w:line="276"/>
      </w:pPr>
      <w:r>
        <w:rPr>
          <w:rFonts w:ascii="Times New Roman" w:cs="Times New Roman" w:eastAsia="Times New Roman" w:hAnsi="Times New Roman"/>
          <w:b/>
          <w:bCs/>
          <w:sz w:val="22"/>
          <w:szCs w:val="22"/>
        </w:rPr>
        <w:t xml:space="preserve">Course repository (notes and materials): </w:t>
      </w:r>
      <w:r>
        <w:rPr>
          <w:rFonts w:ascii="Times New Roman" w:cs="Times New Roman" w:eastAsia="Times New Roman" w:hAnsi="Times New Roman"/>
          <w:color w:val="808080"/>
          <w:sz w:val="22"/>
          <w:szCs w:val="22"/>
        </w:rPr>
        <w:t xml:space="preserve">_______________________________________________</w:t>
      </w:r>
    </w:p>
    <w:p>
      <w:pPr>
        <w:spacing w:after="120" w:before="0" w:line="276"/>
      </w:pPr>
      <w:r>
        <w:rPr>
          <w:rFonts w:ascii="Times New Roman" w:cs="Times New Roman" w:eastAsia="Times New Roman" w:hAnsi="Times New Roman"/>
          <w:b/>
          <w:bCs/>
          <w:sz w:val="22"/>
          <w:szCs w:val="22"/>
        </w:rPr>
        <w:t xml:space="preserve">Course LMS (Brightspace): </w:t>
      </w:r>
      <w:hyperlink w:history="1" r:id="rIdtffao_3wdhuctdrcxtkpn">
        <w:r>
          <w:rPr>
            <w:rStyle w:val="Hyperlink"/>
            <w:rFonts w:ascii="Times New Roman" w:cs="Times New Roman" w:eastAsia="Times New Roman" w:hAnsi="Times New Roman"/>
            <w:color w:val="0563C1"/>
            <w:sz w:val="22"/>
            <w:szCs w:val="22"/>
            <w:u w:val="single"/>
          </w:rPr>
          <w:t xml:space="preserve">https://lms.liu.edu</w:t>
        </w:r>
      </w:hyperlink>
      <w:r>
        <w:rPr>
          <w:rFonts w:ascii="Times New Roman" w:cs="Times New Roman" w:eastAsia="Times New Roman" w:hAnsi="Times New Roman"/>
          <w:sz w:val="22"/>
          <w:szCs w:val="22"/>
        </w:rPr>
        <w:t xml:space="preserve"> — used for announcements, assignment submission, and grades.</w:t>
      </w:r>
    </w:p>
    <w:p>
      <w:pPr>
        <w:keepNext/>
        <w:spacing w:after="140" w:before="280" w:line="276"/>
      </w:pPr>
      <w:r>
        <w:rPr>
          <w:rFonts w:ascii="Times New Roman" w:cs="Times New Roman" w:eastAsia="Times New Roman" w:hAnsi="Times New Roman"/>
          <w:b/>
          <w:bCs/>
          <w:sz w:val="26"/>
          <w:szCs w:val="26"/>
        </w:rPr>
        <w:t xml:space="preserve">Required Course Materials/Textbook</w:t>
      </w:r>
    </w:p>
    <w:p>
      <w:pPr>
        <w:pStyle w:val="ListParagraph"/>
        <w:numPr>
          <w:ilvl w:val="0"/>
          <w:numId w:val="1"/>
        </w:numPr>
        <w:spacing w:after="80" w:line="276"/>
      </w:pPr>
      <w:r>
        <w:rPr>
          <w:rFonts w:ascii="Times New Roman" w:cs="Times New Roman" w:eastAsia="Times New Roman" w:hAnsi="Times New Roman"/>
          <w:sz w:val="22"/>
          <w:szCs w:val="22"/>
        </w:rPr>
        <w:t xml:space="preserve">There is no required textbook and no textbook purchase is necessary for this course.</w:t>
      </w:r>
    </w:p>
    <w:p>
      <w:pPr>
        <w:pStyle w:val="ListParagraph"/>
        <w:numPr>
          <w:ilvl w:val="0"/>
          <w:numId w:val="1"/>
        </w:numPr>
        <w:spacing w:after="80" w:line="276"/>
      </w:pPr>
      <w:r>
        <w:rPr>
          <w:rFonts w:ascii="Times New Roman" w:cs="Times New Roman" w:eastAsia="Times New Roman" w:hAnsi="Times New Roman"/>
          <w:sz w:val="22"/>
          <w:szCs w:val="22"/>
        </w:rPr>
        <w:t xml:space="preserve">All lecture notes, worked examples, code, and project specifications are written by the instructor and distributed through the course GitHub repository (with a Google Doc mirror where useful). Materials are posted before the session in which they are used and remain available for the full term.</w:t>
      </w:r>
    </w:p>
    <w:p>
      <w:pPr>
        <w:keepNext/>
        <w:spacing w:after="100" w:before="200" w:line="276"/>
      </w:pPr>
      <w:r>
        <w:rPr>
          <w:rFonts w:ascii="Times New Roman" w:cs="Times New Roman" w:eastAsia="Times New Roman" w:hAnsi="Times New Roman"/>
          <w:b/>
          <w:bCs/>
          <w:sz w:val="23"/>
          <w:szCs w:val="23"/>
        </w:rPr>
        <w:t xml:space="preserve">Recommended Additional Course Materials/References</w:t>
      </w:r>
    </w:p>
    <w:p>
      <w:pPr>
        <w:pStyle w:val="ListParagraph"/>
        <w:numPr>
          <w:ilvl w:val="0"/>
          <w:numId w:val="1"/>
        </w:numPr>
        <w:spacing w:after="80" w:line="276"/>
      </w:pPr>
      <w:r>
        <w:rPr>
          <w:rFonts w:ascii="Times New Roman" w:cs="Times New Roman" w:eastAsia="Times New Roman" w:hAnsi="Times New Roman"/>
          <w:sz w:val="22"/>
          <w:szCs w:val="22"/>
        </w:rPr>
        <w:t xml:space="preserve">Optional supplementary readings — all freely available online — are linked from the course repository, week by week. None are required.</w:t>
      </w:r>
    </w:p>
    <w:p>
      <w:pPr>
        <w:keepNext/>
        <w:spacing w:after="100" w:before="200" w:line="276"/>
      </w:pPr>
      <w:r>
        <w:rPr>
          <w:rFonts w:ascii="Times New Roman" w:cs="Times New Roman" w:eastAsia="Times New Roman" w:hAnsi="Times New Roman"/>
          <w:b/>
          <w:bCs/>
          <w:sz w:val="23"/>
          <w:szCs w:val="23"/>
        </w:rPr>
        <w:t xml:space="preserve">Software, Tools, Development Environments</w:t>
      </w:r>
    </w:p>
    <w:p>
      <w:pPr>
        <w:pStyle w:val="ListParagraph"/>
        <w:numPr>
          <w:ilvl w:val="0"/>
          <w:numId w:val="1"/>
        </w:numPr>
        <w:spacing w:after="80" w:line="276"/>
      </w:pPr>
      <w:r>
        <w:rPr>
          <w:rFonts w:ascii="Times New Roman" w:cs="Times New Roman" w:eastAsia="Times New Roman" w:hAnsi="Times New Roman"/>
          <w:sz w:val="22"/>
          <w:szCs w:val="22"/>
        </w:rPr>
        <w:t xml:space="preserve">A free-tier account with AWS, Google Cloud, or Microsoft Azure (students choose one provider and stay with it; the instructor will assist with free-tier setup and credit programs in Week 1)</w:t>
      </w:r>
    </w:p>
    <w:p>
      <w:pPr>
        <w:pStyle w:val="ListParagraph"/>
        <w:numPr>
          <w:ilvl w:val="0"/>
          <w:numId w:val="1"/>
        </w:numPr>
        <w:spacing w:after="80" w:line="276"/>
      </w:pPr>
      <w:r>
        <w:rPr>
          <w:rFonts w:ascii="Times New Roman" w:cs="Times New Roman" w:eastAsia="Times New Roman" w:hAnsi="Times New Roman"/>
          <w:sz w:val="22"/>
          <w:szCs w:val="22"/>
        </w:rPr>
        <w:t xml:space="preserve">Docker Desktop or an equivalent container runtime</w:t>
      </w:r>
    </w:p>
    <w:p>
      <w:pPr>
        <w:pStyle w:val="ListParagraph"/>
        <w:numPr>
          <w:ilvl w:val="0"/>
          <w:numId w:val="1"/>
        </w:numPr>
        <w:spacing w:after="80" w:line="276"/>
      </w:pPr>
      <w:r>
        <w:rPr>
          <w:rFonts w:ascii="Times New Roman" w:cs="Times New Roman" w:eastAsia="Times New Roman" w:hAnsi="Times New Roman"/>
          <w:sz w:val="22"/>
          <w:szCs w:val="22"/>
        </w:rPr>
        <w:t xml:space="preserve">Git and a personal GitHub account</w:t>
      </w:r>
    </w:p>
    <w:p>
      <w:pPr>
        <w:pStyle w:val="ListParagraph"/>
        <w:numPr>
          <w:ilvl w:val="0"/>
          <w:numId w:val="1"/>
        </w:numPr>
        <w:spacing w:after="80" w:line="276"/>
      </w:pPr>
      <w:r>
        <w:rPr>
          <w:rFonts w:ascii="Times New Roman" w:cs="Times New Roman" w:eastAsia="Times New Roman" w:hAnsi="Times New Roman"/>
          <w:sz w:val="22"/>
          <w:szCs w:val="22"/>
        </w:rPr>
        <w:t xml:space="preserve">Terraform (or the provider-native infrastructure-as-code tool)</w:t>
      </w:r>
    </w:p>
    <w:p>
      <w:pPr>
        <w:pStyle w:val="ListParagraph"/>
        <w:numPr>
          <w:ilvl w:val="0"/>
          <w:numId w:val="1"/>
        </w:numPr>
        <w:spacing w:after="80" w:line="276"/>
      </w:pPr>
      <w:r>
        <w:rPr>
          <w:rFonts w:ascii="Times New Roman" w:cs="Times New Roman" w:eastAsia="Times New Roman" w:hAnsi="Times New Roman"/>
          <w:sz w:val="22"/>
          <w:szCs w:val="22"/>
        </w:rPr>
        <w:t xml:space="preserve">A code editor of the student’s choice (VS Code recommended)</w:t>
      </w:r>
    </w:p>
    <w:p>
      <w:pPr>
        <w:pStyle w:val="ListParagraph"/>
        <w:numPr>
          <w:ilvl w:val="0"/>
          <w:numId w:val="1"/>
        </w:numPr>
        <w:spacing w:after="80" w:line="276"/>
      </w:pPr>
      <w:r>
        <w:rPr>
          <w:rFonts w:ascii="Times New Roman" w:cs="Times New Roman" w:eastAsia="Times New Roman" w:hAnsi="Times New Roman"/>
          <w:sz w:val="22"/>
          <w:szCs w:val="22"/>
        </w:rPr>
        <w:t xml:space="preserve">Google Meet, for all synchronous class sessions</w:t>
      </w:r>
    </w:p>
    <w:p>
      <w:pPr>
        <w:spacing w:after="120" w:before="80" w:line="276"/>
      </w:pPr>
      <w:r>
        <w:rPr>
          <w:rFonts w:ascii="Times New Roman" w:cs="Times New Roman" w:eastAsia="Times New Roman" w:hAnsi="Times New Roman"/>
          <w:sz w:val="22"/>
          <w:szCs w:val="22"/>
        </w:rPr>
        <w:t xml:space="preserve">All required software is free or available at no cost to students. Setup instructions are posted in the course repository and Week 1 includes a guided setup session.</w:t>
      </w:r>
    </w:p>
    <w:p>
      <w:pPr>
        <w:keepNext/>
        <w:spacing w:after="140" w:before="280" w:line="276"/>
      </w:pPr>
      <w:r>
        <w:rPr>
          <w:rFonts w:ascii="Times New Roman" w:cs="Times New Roman" w:eastAsia="Times New Roman" w:hAnsi="Times New Roman"/>
          <w:b/>
          <w:bCs/>
          <w:sz w:val="26"/>
          <w:szCs w:val="26"/>
        </w:rPr>
        <w:t xml:space="preserve">Course Description</w:t>
      </w:r>
    </w:p>
    <w:p>
      <w:pPr>
        <w:spacing w:after="120" w:before="0" w:line="276"/>
      </w:pPr>
      <w:r>
        <w:rPr>
          <w:rFonts w:ascii="Times New Roman" w:cs="Times New Roman" w:eastAsia="Times New Roman" w:hAnsi="Times New Roman"/>
          <w:sz w:val="22"/>
          <w:szCs w:val="22"/>
        </w:rPr>
        <w:t xml:space="preserve">This course covers the concepts, architecture, and operational practice of cloud computing. Students work through the full stack a modern cloud application rests on — virtualization and containers, elastic compute, object and block storage, virtual networking, identity and access management, managed data services, and the distributed-systems ideas that make these services behave the way they do. The course is built around deployment: students provision, containerize, automate, and instrument real services on a public cloud provider, and are expected to account for the cost, security, and reliability consequences of every architectural decision they make.</w:t>
      </w:r>
    </w:p>
    <w:p>
      <w:pPr>
        <w:keepNext/>
        <w:spacing w:after="140" w:before="280" w:line="276"/>
      </w:pPr>
      <w:r>
        <w:rPr>
          <w:rFonts w:ascii="Times New Roman" w:cs="Times New Roman" w:eastAsia="Times New Roman" w:hAnsi="Times New Roman"/>
          <w:b/>
          <w:bCs/>
          <w:sz w:val="26"/>
          <w:szCs w:val="26"/>
        </w:rPr>
        <w:t xml:space="preserve">Course Objectives</w:t>
      </w:r>
    </w:p>
    <w:p>
      <w:pPr>
        <w:spacing w:after="100"/>
      </w:pPr>
      <w:r>
        <w:rPr>
          <w:rFonts w:ascii="Times New Roman" w:cs="Times New Roman" w:eastAsia="Times New Roman" w:hAnsi="Times New Roman"/>
          <w:sz w:val="22"/>
          <w:szCs w:val="22"/>
          <w:u w:val="single"/>
        </w:rPr>
        <w:t xml:space="preserve">Topics include:</w:t>
      </w:r>
    </w:p>
    <w:p>
      <w:pPr>
        <w:pStyle w:val="ListParagraph"/>
        <w:numPr>
          <w:ilvl w:val="0"/>
          <w:numId w:val="1"/>
        </w:numPr>
        <w:spacing w:after="80" w:line="276"/>
      </w:pPr>
      <w:r>
        <w:rPr>
          <w:rFonts w:ascii="Times New Roman" w:cs="Times New Roman" w:eastAsia="Times New Roman" w:hAnsi="Times New Roman"/>
          <w:sz w:val="22"/>
          <w:szCs w:val="22"/>
        </w:rPr>
        <w:t xml:space="preserve">Cloud fundamentals</w:t>
      </w:r>
    </w:p>
    <w:p>
      <w:pPr>
        <w:spacing w:after="60" w:line="276"/>
        <w:ind w:left="1512"/>
      </w:pPr>
      <w:r>
        <w:rPr>
          <w:rFonts w:ascii="Times New Roman" w:cs="Times New Roman" w:eastAsia="Times New Roman" w:hAnsi="Times New Roman"/>
          <w:sz w:val="22"/>
          <w:szCs w:val="22"/>
        </w:rPr>
        <w:t xml:space="preserve">a. Service models: IaaS, PaaS, SaaS, FaaS</w:t>
      </w:r>
    </w:p>
    <w:p>
      <w:pPr>
        <w:spacing w:after="60" w:line="276"/>
        <w:ind w:left="1512"/>
      </w:pPr>
      <w:r>
        <w:rPr>
          <w:rFonts w:ascii="Times New Roman" w:cs="Times New Roman" w:eastAsia="Times New Roman" w:hAnsi="Times New Roman"/>
          <w:sz w:val="22"/>
          <w:szCs w:val="22"/>
        </w:rPr>
        <w:t xml:space="preserve">b. Deployment models: public, private, hybrid, multi-cloud</w:t>
      </w:r>
    </w:p>
    <w:p>
      <w:pPr>
        <w:spacing w:after="60" w:line="276"/>
        <w:ind w:left="1512"/>
      </w:pPr>
      <w:r>
        <w:rPr>
          <w:rFonts w:ascii="Times New Roman" w:cs="Times New Roman" w:eastAsia="Times New Roman" w:hAnsi="Times New Roman"/>
          <w:sz w:val="22"/>
          <w:szCs w:val="22"/>
        </w:rPr>
        <w:t xml:space="preserve">c. The economics of elasticity and the shared responsibility model</w:t>
      </w:r>
    </w:p>
    <w:p>
      <w:pPr>
        <w:pStyle w:val="ListParagraph"/>
        <w:numPr>
          <w:ilvl w:val="0"/>
          <w:numId w:val="1"/>
        </w:numPr>
        <w:spacing w:after="80" w:line="276"/>
      </w:pPr>
      <w:r>
        <w:rPr>
          <w:rFonts w:ascii="Times New Roman" w:cs="Times New Roman" w:eastAsia="Times New Roman" w:hAnsi="Times New Roman"/>
          <w:sz w:val="22"/>
          <w:szCs w:val="22"/>
        </w:rPr>
        <w:t xml:space="preserve">Compute and virtualization</w:t>
      </w:r>
    </w:p>
    <w:p>
      <w:pPr>
        <w:spacing w:after="60" w:line="276"/>
        <w:ind w:left="1512"/>
      </w:pPr>
      <w:r>
        <w:rPr>
          <w:rFonts w:ascii="Times New Roman" w:cs="Times New Roman" w:eastAsia="Times New Roman" w:hAnsi="Times New Roman"/>
          <w:sz w:val="22"/>
          <w:szCs w:val="22"/>
        </w:rPr>
        <w:t xml:space="preserve">a. Hypervisors, virtual machines, and instance types</w:t>
      </w:r>
    </w:p>
    <w:p>
      <w:pPr>
        <w:spacing w:after="60" w:line="276"/>
        <w:ind w:left="1512"/>
      </w:pPr>
      <w:r>
        <w:rPr>
          <w:rFonts w:ascii="Times New Roman" w:cs="Times New Roman" w:eastAsia="Times New Roman" w:hAnsi="Times New Roman"/>
          <w:sz w:val="22"/>
          <w:szCs w:val="22"/>
        </w:rPr>
        <w:t xml:space="preserve">b. Containers, images, and registries</w:t>
      </w:r>
    </w:p>
    <w:p>
      <w:pPr>
        <w:spacing w:after="60" w:line="276"/>
        <w:ind w:left="1512"/>
      </w:pPr>
      <w:r>
        <w:rPr>
          <w:rFonts w:ascii="Times New Roman" w:cs="Times New Roman" w:eastAsia="Times New Roman" w:hAnsi="Times New Roman"/>
          <w:sz w:val="22"/>
          <w:szCs w:val="22"/>
        </w:rPr>
        <w:t xml:space="preserve">c. Autoscaling groups and load distribution</w:t>
      </w:r>
    </w:p>
    <w:p>
      <w:pPr>
        <w:spacing w:after="60" w:line="276"/>
        <w:ind w:left="1512"/>
      </w:pPr>
      <w:r>
        <w:rPr>
          <w:rFonts w:ascii="Times New Roman" w:cs="Times New Roman" w:eastAsia="Times New Roman" w:hAnsi="Times New Roman"/>
          <w:sz w:val="22"/>
          <w:szCs w:val="22"/>
        </w:rPr>
        <w:t xml:space="preserve">d. Serverless functions and event-driven execution</w:t>
      </w:r>
    </w:p>
    <w:p>
      <w:pPr>
        <w:pStyle w:val="ListParagraph"/>
        <w:numPr>
          <w:ilvl w:val="0"/>
          <w:numId w:val="1"/>
        </w:numPr>
        <w:spacing w:after="80" w:line="276"/>
      </w:pPr>
      <w:r>
        <w:rPr>
          <w:rFonts w:ascii="Times New Roman" w:cs="Times New Roman" w:eastAsia="Times New Roman" w:hAnsi="Times New Roman"/>
          <w:sz w:val="22"/>
          <w:szCs w:val="22"/>
        </w:rPr>
        <w:t xml:space="preserve">Storage and data</w:t>
      </w:r>
    </w:p>
    <w:p>
      <w:pPr>
        <w:spacing w:after="60" w:line="276"/>
        <w:ind w:left="1512"/>
      </w:pPr>
      <w:r>
        <w:rPr>
          <w:rFonts w:ascii="Times New Roman" w:cs="Times New Roman" w:eastAsia="Times New Roman" w:hAnsi="Times New Roman"/>
          <w:sz w:val="22"/>
          <w:szCs w:val="22"/>
        </w:rPr>
        <w:t xml:space="preserve">a. Object, block, and file storage and when each applies</w:t>
      </w:r>
    </w:p>
    <w:p>
      <w:pPr>
        <w:spacing w:after="60" w:line="276"/>
        <w:ind w:left="1512"/>
      </w:pPr>
      <w:r>
        <w:rPr>
          <w:rFonts w:ascii="Times New Roman" w:cs="Times New Roman" w:eastAsia="Times New Roman" w:hAnsi="Times New Roman"/>
          <w:sz w:val="22"/>
          <w:szCs w:val="22"/>
        </w:rPr>
        <w:t xml:space="preserve">b. Durability, availability, and consistency guarantees</w:t>
      </w:r>
    </w:p>
    <w:p>
      <w:pPr>
        <w:spacing w:after="60" w:line="276"/>
        <w:ind w:left="1512"/>
      </w:pPr>
      <w:r>
        <w:rPr>
          <w:rFonts w:ascii="Times New Roman" w:cs="Times New Roman" w:eastAsia="Times New Roman" w:hAnsi="Times New Roman"/>
          <w:sz w:val="22"/>
          <w:szCs w:val="22"/>
        </w:rPr>
        <w:t xml:space="preserve">c. Managed relational and NoSQL databases</w:t>
      </w:r>
    </w:p>
    <w:p>
      <w:pPr>
        <w:spacing w:after="60" w:line="276"/>
        <w:ind w:left="1512"/>
      </w:pPr>
      <w:r>
        <w:rPr>
          <w:rFonts w:ascii="Times New Roman" w:cs="Times New Roman" w:eastAsia="Times New Roman" w:hAnsi="Times New Roman"/>
          <w:sz w:val="22"/>
          <w:szCs w:val="22"/>
        </w:rPr>
        <w:t xml:space="preserve">d. Caching layers and content delivery networks</w:t>
      </w:r>
    </w:p>
    <w:p>
      <w:pPr>
        <w:pStyle w:val="ListParagraph"/>
        <w:numPr>
          <w:ilvl w:val="0"/>
          <w:numId w:val="1"/>
        </w:numPr>
        <w:spacing w:after="80" w:line="276"/>
      </w:pPr>
      <w:r>
        <w:rPr>
          <w:rFonts w:ascii="Times New Roman" w:cs="Times New Roman" w:eastAsia="Times New Roman" w:hAnsi="Times New Roman"/>
          <w:sz w:val="22"/>
          <w:szCs w:val="22"/>
        </w:rPr>
        <w:t xml:space="preserve">Networking and security</w:t>
      </w:r>
    </w:p>
    <w:p>
      <w:pPr>
        <w:spacing w:after="60" w:line="276"/>
        <w:ind w:left="1512"/>
      </w:pPr>
      <w:r>
        <w:rPr>
          <w:rFonts w:ascii="Times New Roman" w:cs="Times New Roman" w:eastAsia="Times New Roman" w:hAnsi="Times New Roman"/>
          <w:sz w:val="22"/>
          <w:szCs w:val="22"/>
        </w:rPr>
        <w:t xml:space="preserve">a. Virtual private clouds, subnets, routing, and security groups</w:t>
      </w:r>
    </w:p>
    <w:p>
      <w:pPr>
        <w:spacing w:after="60" w:line="276"/>
        <w:ind w:left="1512"/>
      </w:pPr>
      <w:r>
        <w:rPr>
          <w:rFonts w:ascii="Times New Roman" w:cs="Times New Roman" w:eastAsia="Times New Roman" w:hAnsi="Times New Roman"/>
          <w:sz w:val="22"/>
          <w:szCs w:val="22"/>
        </w:rPr>
        <w:t xml:space="preserve">b. Load balancers, DNS, and TLS termination</w:t>
      </w:r>
    </w:p>
    <w:p>
      <w:pPr>
        <w:spacing w:after="60" w:line="276"/>
        <w:ind w:left="1512"/>
      </w:pPr>
      <w:r>
        <w:rPr>
          <w:rFonts w:ascii="Times New Roman" w:cs="Times New Roman" w:eastAsia="Times New Roman" w:hAnsi="Times New Roman"/>
          <w:sz w:val="22"/>
          <w:szCs w:val="22"/>
        </w:rPr>
        <w:t xml:space="preserve">c. Identity and access management, roles, and least privilege</w:t>
      </w:r>
    </w:p>
    <w:p>
      <w:pPr>
        <w:spacing w:after="60" w:line="276"/>
        <w:ind w:left="1512"/>
      </w:pPr>
      <w:r>
        <w:rPr>
          <w:rFonts w:ascii="Times New Roman" w:cs="Times New Roman" w:eastAsia="Times New Roman" w:hAnsi="Times New Roman"/>
          <w:sz w:val="22"/>
          <w:szCs w:val="22"/>
        </w:rPr>
        <w:t xml:space="preserve">d. Secrets management and encryption at rest and in transit</w:t>
      </w:r>
    </w:p>
    <w:p>
      <w:pPr>
        <w:pStyle w:val="ListParagraph"/>
        <w:numPr>
          <w:ilvl w:val="0"/>
          <w:numId w:val="1"/>
        </w:numPr>
        <w:spacing w:after="80" w:line="276"/>
      </w:pPr>
      <w:r>
        <w:rPr>
          <w:rFonts w:ascii="Times New Roman" w:cs="Times New Roman" w:eastAsia="Times New Roman" w:hAnsi="Times New Roman"/>
          <w:sz w:val="22"/>
          <w:szCs w:val="22"/>
        </w:rPr>
        <w:t xml:space="preserve">Distributed systems foundations</w:t>
      </w:r>
    </w:p>
    <w:p>
      <w:pPr>
        <w:spacing w:after="60" w:line="276"/>
        <w:ind w:left="1512"/>
      </w:pPr>
      <w:r>
        <w:rPr>
          <w:rFonts w:ascii="Times New Roman" w:cs="Times New Roman" w:eastAsia="Times New Roman" w:hAnsi="Times New Roman"/>
          <w:sz w:val="22"/>
          <w:szCs w:val="22"/>
        </w:rPr>
        <w:t xml:space="preserve">a. Replication, partitioning, and the CAP theorem</w:t>
      </w:r>
    </w:p>
    <w:p>
      <w:pPr>
        <w:spacing w:after="60" w:line="276"/>
        <w:ind w:left="1512"/>
      </w:pPr>
      <w:r>
        <w:rPr>
          <w:rFonts w:ascii="Times New Roman" w:cs="Times New Roman" w:eastAsia="Times New Roman" w:hAnsi="Times New Roman"/>
          <w:sz w:val="22"/>
          <w:szCs w:val="22"/>
        </w:rPr>
        <w:t xml:space="preserve">b. Consensus and leader election</w:t>
      </w:r>
    </w:p>
    <w:p>
      <w:pPr>
        <w:spacing w:after="60" w:line="276"/>
        <w:ind w:left="1512"/>
      </w:pPr>
      <w:r>
        <w:rPr>
          <w:rFonts w:ascii="Times New Roman" w:cs="Times New Roman" w:eastAsia="Times New Roman" w:hAnsi="Times New Roman"/>
          <w:sz w:val="22"/>
          <w:szCs w:val="22"/>
        </w:rPr>
        <w:t xml:space="preserve">c. Message queues and event-driven architecture</w:t>
      </w:r>
    </w:p>
    <w:p>
      <w:pPr>
        <w:spacing w:after="60" w:line="276"/>
        <w:ind w:left="1512"/>
      </w:pPr>
      <w:r>
        <w:rPr>
          <w:rFonts w:ascii="Times New Roman" w:cs="Times New Roman" w:eastAsia="Times New Roman" w:hAnsi="Times New Roman"/>
          <w:sz w:val="22"/>
          <w:szCs w:val="22"/>
        </w:rPr>
        <w:t xml:space="preserve">d. Idempotency, retries, and failure modes</w:t>
      </w:r>
    </w:p>
    <w:p>
      <w:pPr>
        <w:pStyle w:val="ListParagraph"/>
        <w:numPr>
          <w:ilvl w:val="0"/>
          <w:numId w:val="1"/>
        </w:numPr>
        <w:spacing w:after="80" w:line="276"/>
      </w:pPr>
      <w:r>
        <w:rPr>
          <w:rFonts w:ascii="Times New Roman" w:cs="Times New Roman" w:eastAsia="Times New Roman" w:hAnsi="Times New Roman"/>
          <w:sz w:val="22"/>
          <w:szCs w:val="22"/>
        </w:rPr>
        <w:t xml:space="preserve">Operating the cloud</w:t>
      </w:r>
    </w:p>
    <w:p>
      <w:pPr>
        <w:spacing w:after="60" w:line="276"/>
        <w:ind w:left="1512"/>
      </w:pPr>
      <w:r>
        <w:rPr>
          <w:rFonts w:ascii="Times New Roman" w:cs="Times New Roman" w:eastAsia="Times New Roman" w:hAnsi="Times New Roman"/>
          <w:sz w:val="22"/>
          <w:szCs w:val="22"/>
        </w:rPr>
        <w:t xml:space="preserve">a. Infrastructure as code</w:t>
      </w:r>
    </w:p>
    <w:p>
      <w:pPr>
        <w:spacing w:after="60" w:line="276"/>
        <w:ind w:left="1512"/>
      </w:pPr>
      <w:r>
        <w:rPr>
          <w:rFonts w:ascii="Times New Roman" w:cs="Times New Roman" w:eastAsia="Times New Roman" w:hAnsi="Times New Roman"/>
          <w:sz w:val="22"/>
          <w:szCs w:val="22"/>
        </w:rPr>
        <w:t xml:space="preserve">b. Continuous integration and continuous deployment</w:t>
      </w:r>
    </w:p>
    <w:p>
      <w:pPr>
        <w:spacing w:after="60" w:line="276"/>
        <w:ind w:left="1512"/>
      </w:pPr>
      <w:r>
        <w:rPr>
          <w:rFonts w:ascii="Times New Roman" w:cs="Times New Roman" w:eastAsia="Times New Roman" w:hAnsi="Times New Roman"/>
          <w:sz w:val="22"/>
          <w:szCs w:val="22"/>
        </w:rPr>
        <w:t xml:space="preserve">c. Logging, metrics, tracing, and alerting</w:t>
      </w:r>
    </w:p>
    <w:p>
      <w:pPr>
        <w:spacing w:after="60" w:line="276"/>
        <w:ind w:left="1512"/>
      </w:pPr>
      <w:r>
        <w:rPr>
          <w:rFonts w:ascii="Times New Roman" w:cs="Times New Roman" w:eastAsia="Times New Roman" w:hAnsi="Times New Roman"/>
          <w:sz w:val="22"/>
          <w:szCs w:val="22"/>
        </w:rPr>
        <w:t xml:space="preserve">d. Reliability engineering, cost optimization, and capacity planning</w:t>
      </w:r>
    </w:p>
    <w:p>
      <w:pPr>
        <w:keepNext/>
        <w:spacing w:after="140" w:before="280" w:line="276"/>
      </w:pPr>
      <w:r>
        <w:rPr>
          <w:rFonts w:ascii="Times New Roman" w:cs="Times New Roman" w:eastAsia="Times New Roman" w:hAnsi="Times New Roman"/>
          <w:b/>
          <w:bCs/>
          <w:sz w:val="26"/>
          <w:szCs w:val="26"/>
        </w:rPr>
        <w:t xml:space="preserve">Course Learning Outcomes (Student Outcomes)</w:t>
      </w:r>
    </w:p>
    <w:p>
      <w:pPr>
        <w:spacing w:after="120" w:before="0" w:line="276"/>
      </w:pPr>
      <w:r>
        <w:rPr>
          <w:rFonts w:ascii="Times New Roman" w:cs="Times New Roman" w:eastAsia="Times New Roman" w:hAnsi="Times New Roman"/>
          <w:sz w:val="22"/>
          <w:szCs w:val="22"/>
        </w:rPr>
        <w:t xml:space="preserve">Upon completion of this course, students will be able to:</w:t>
      </w:r>
    </w:p>
    <w:p>
      <w:pPr>
        <w:pStyle w:val="ListParagraph"/>
        <w:numPr>
          <w:ilvl w:val="0"/>
          <w:numId w:val="1"/>
        </w:numPr>
        <w:spacing w:after="80" w:line="276"/>
      </w:pPr>
      <w:r>
        <w:rPr>
          <w:rFonts w:ascii="Times New Roman" w:cs="Times New Roman" w:eastAsia="Times New Roman" w:hAnsi="Times New Roman"/>
          <w:sz w:val="22"/>
          <w:szCs w:val="22"/>
        </w:rPr>
        <w:t xml:space="preserve">Compare cloud service and deployment models and select an appropriate model for a stated business or technical requirement.</w:t>
      </w:r>
    </w:p>
    <w:p>
      <w:pPr>
        <w:pStyle w:val="ListParagraph"/>
        <w:numPr>
          <w:ilvl w:val="0"/>
          <w:numId w:val="1"/>
        </w:numPr>
        <w:spacing w:after="80" w:line="276"/>
      </w:pPr>
      <w:r>
        <w:rPr>
          <w:rFonts w:ascii="Times New Roman" w:cs="Times New Roman" w:eastAsia="Times New Roman" w:hAnsi="Times New Roman"/>
          <w:sz w:val="22"/>
          <w:szCs w:val="22"/>
        </w:rPr>
        <w:t xml:space="preserve">Provision and configure compute, storage, and networking resources on a public cloud provider and document the resulting architecture.</w:t>
      </w:r>
    </w:p>
    <w:p>
      <w:pPr>
        <w:pStyle w:val="ListParagraph"/>
        <w:numPr>
          <w:ilvl w:val="0"/>
          <w:numId w:val="1"/>
        </w:numPr>
        <w:spacing w:after="80" w:line="276"/>
      </w:pPr>
      <w:r>
        <w:rPr>
          <w:rFonts w:ascii="Times New Roman" w:cs="Times New Roman" w:eastAsia="Times New Roman" w:hAnsi="Times New Roman"/>
          <w:sz w:val="22"/>
          <w:szCs w:val="22"/>
        </w:rPr>
        <w:t xml:space="preserve">Containerize a multi-service application and deploy it under an orchestration platform.</w:t>
      </w:r>
    </w:p>
    <w:p>
      <w:pPr>
        <w:pStyle w:val="ListParagraph"/>
        <w:numPr>
          <w:ilvl w:val="0"/>
          <w:numId w:val="1"/>
        </w:numPr>
        <w:spacing w:after="80" w:line="276"/>
      </w:pPr>
      <w:r>
        <w:rPr>
          <w:rFonts w:ascii="Times New Roman" w:cs="Times New Roman" w:eastAsia="Times New Roman" w:hAnsi="Times New Roman"/>
          <w:sz w:val="22"/>
          <w:szCs w:val="22"/>
        </w:rPr>
        <w:t xml:space="preserve">Automate the provisioning and deployment of cloud infrastructure using infrastructure-as-code and a CI/CD pipeline.</w:t>
      </w:r>
    </w:p>
    <w:p>
      <w:pPr>
        <w:pStyle w:val="ListParagraph"/>
        <w:numPr>
          <w:ilvl w:val="0"/>
          <w:numId w:val="1"/>
        </w:numPr>
        <w:spacing w:after="80" w:line="276"/>
      </w:pPr>
      <w:r>
        <w:rPr>
          <w:rFonts w:ascii="Times New Roman" w:cs="Times New Roman" w:eastAsia="Times New Roman" w:hAnsi="Times New Roman"/>
          <w:sz w:val="22"/>
          <w:szCs w:val="22"/>
        </w:rPr>
        <w:t xml:space="preserve">Apply identity, access, and encryption controls consistent with the principle of least privilege.</w:t>
      </w:r>
    </w:p>
    <w:p>
      <w:pPr>
        <w:pStyle w:val="ListParagraph"/>
        <w:numPr>
          <w:ilvl w:val="0"/>
          <w:numId w:val="1"/>
        </w:numPr>
        <w:spacing w:after="80" w:line="276"/>
      </w:pPr>
      <w:r>
        <w:rPr>
          <w:rFonts w:ascii="Times New Roman" w:cs="Times New Roman" w:eastAsia="Times New Roman" w:hAnsi="Times New Roman"/>
          <w:sz w:val="22"/>
          <w:szCs w:val="22"/>
        </w:rPr>
        <w:t xml:space="preserve">Instrument a deployed system with logging, metrics, and alerting, and analyze its cost and reliability characteristics.</w:t>
      </w:r>
    </w:p>
    <w:p>
      <w:pPr>
        <w:keepNext/>
        <w:spacing w:after="140" w:before="280" w:line="276"/>
      </w:pPr>
      <w:r>
        <w:rPr>
          <w:rFonts w:ascii="Times New Roman" w:cs="Times New Roman" w:eastAsia="Times New Roman" w:hAnsi="Times New Roman"/>
          <w:b/>
          <w:bCs/>
          <w:sz w:val="26"/>
          <w:szCs w:val="26"/>
        </w:rPr>
        <w:t xml:space="preserve">Outcome Assessment Strategies</w:t>
      </w:r>
    </w:p>
    <w:p>
      <w:pPr>
        <w:spacing w:after="120" w:before="0" w:line="276"/>
      </w:pPr>
      <w:r>
        <w:rPr>
          <w:rFonts w:ascii="Times New Roman" w:cs="Times New Roman" w:eastAsia="Times New Roman" w:hAnsi="Times New Roman"/>
          <w:sz w:val="22"/>
          <w:szCs w:val="22"/>
        </w:rPr>
        <w:t xml:space="preserve">All course outcomes are assessed through the four graded projects. Each project produces a running deployment together with an architecture document, and carries a published rubric that maps its criteria to the course learning outcomes above.</w:t>
      </w:r>
    </w:p>
    <w:p>
      <w:pPr>
        <w:keepNext/>
        <w:spacing w:after="140" w:before="280" w:line="276"/>
      </w:pPr>
      <w:r>
        <w:rPr>
          <w:rFonts w:ascii="Times New Roman" w:cs="Times New Roman" w:eastAsia="Times New Roman" w:hAnsi="Times New Roman"/>
          <w:b/>
          <w:bCs/>
          <w:sz w:val="26"/>
          <w:szCs w:val="26"/>
        </w:rPr>
        <w:t xml:space="preserve">Course Format</w:t>
      </w:r>
    </w:p>
    <w:p>
      <w:pPr>
        <w:spacing w:after="120" w:before="0" w:line="276"/>
      </w:pPr>
      <w:r>
        <w:rPr>
          <w:rFonts w:ascii="Times New Roman" w:cs="Times New Roman" w:eastAsia="Times New Roman" w:hAnsi="Times New Roman"/>
          <w:sz w:val="22"/>
          <w:szCs w:val="22"/>
        </w:rPr>
        <w:t xml:space="preserve">This is a three-credit course with an integrated two-hour laboratory component, delivered online. Each week consists of two live 110-minute sessions in which concepts are developed and student work is demonstrated and critiqued.</w:t>
      </w:r>
    </w:p>
    <w:p>
      <w:pPr>
        <w:spacing w:after="120" w:before="0" w:line="276"/>
      </w:pPr>
      <w:r>
        <w:rPr>
          <w:rFonts w:ascii="Times New Roman" w:cs="Times New Roman" w:eastAsia="Times New Roman" w:hAnsi="Times New Roman"/>
          <w:sz w:val="22"/>
          <w:szCs w:val="22"/>
        </w:rPr>
        <w:t xml:space="preserve">The laboratory component is carried out within these sessions: students build, demonstrate, and critique working artifacts during the meeting rather than only afterward, and continue project work between sessions.</w:t>
      </w:r>
    </w:p>
    <w:p>
      <w:pPr>
        <w:spacing w:after="120" w:before="0" w:line="276"/>
      </w:pPr>
      <w:r>
        <w:rPr>
          <w:rFonts w:ascii="Times New Roman" w:cs="Times New Roman" w:eastAsia="Times New Roman" w:hAnsi="Times New Roman"/>
          <w:sz w:val="22"/>
          <w:szCs w:val="22"/>
        </w:rPr>
        <w:t xml:space="preserve">This section is taught as a small-group tutorial and sessions are run accordingly: every student is expected to present current work and take part in critique at each meeting. Details of the individual sessions are given in the weekly schedule below.</w:t>
      </w:r>
    </w:p>
    <w:p>
      <w:pPr>
        <w:keepNext/>
        <w:spacing w:after="140" w:before="280" w:line="276"/>
      </w:pPr>
      <w:r>
        <w:rPr>
          <w:rFonts w:ascii="Times New Roman" w:cs="Times New Roman" w:eastAsia="Times New Roman" w:hAnsi="Times New Roman"/>
          <w:b/>
          <w:bCs/>
          <w:sz w:val="26"/>
          <w:szCs w:val="26"/>
        </w:rPr>
        <w:t xml:space="preserve">Assignments + Grading</w:t>
      </w:r>
    </w:p>
    <w:p>
      <w:pPr>
        <w:spacing w:after="120" w:before="0" w:line="276"/>
      </w:pPr>
      <w:r>
        <w:rPr>
          <w:rFonts w:ascii="Times New Roman" w:cs="Times New Roman" w:eastAsia="Times New Roman" w:hAnsi="Times New Roman"/>
          <w:sz w:val="22"/>
          <w:szCs w:val="22"/>
        </w:rPr>
        <w:t xml:space="preserve">This course is graded entirely on project work. There are no examinations. Each project is a self-contained, hands-on build with a written component; detailed specifications and rubrics are released in class and posted to the course repository at least two weeks before the due date.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0"/>
        <w:gridCol w:w="1860"/>
      </w:tblGrid>
      <w:tr>
        <w:trPr>
          <w:tblHeader/>
        </w:trPr>
        <w:tc>
          <w:tcPr>
            <w:tcW w:type="dxa" w:w="75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Description (see Appendix for grading rubrics)</w:t>
            </w:r>
          </w:p>
        </w:tc>
        <w:tc>
          <w:tcPr>
            <w:tcW w:type="dxa" w:w="186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Weight %</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1 — First Cloud Deployment — </w:t>
            </w:r>
            <w:r>
              <w:rPr>
                <w:rFonts w:ascii="Times New Roman" w:cs="Times New Roman" w:eastAsia="Times New Roman" w:hAnsi="Times New Roman"/>
                <w:sz w:val="22"/>
                <w:szCs w:val="22"/>
              </w:rPr>
              <w:t xml:space="preserve">Deploy a working web service to a public cloud provider using compute, object storage, and DNS, secured with TLS and scoped IAM roles. Deliverables are the live endpoint, an architecture diagram, and a written cost estimate at three traffic levels.</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2 — Containerized Multi-Service Application — </w:t>
            </w:r>
            <w:r>
              <w:rPr>
                <w:rFonts w:ascii="Times New Roman" w:cs="Times New Roman" w:eastAsia="Times New Roman" w:hAnsi="Times New Roman"/>
                <w:sz w:val="22"/>
                <w:szCs w:val="22"/>
              </w:rPr>
              <w:t xml:space="preserve">Containerize an application consisting of at least three cooperating services plus a managed datastore, publish the images to a registry, and run the system under an orchestration platform with health checks and horizontal scaling. The written component must analyze the failure modes of each service.</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3 — Infrastructure as Code and CI/CD — </w:t>
            </w:r>
            <w:r>
              <w:rPr>
                <w:rFonts w:ascii="Times New Roman" w:cs="Times New Roman" w:eastAsia="Times New Roman" w:hAnsi="Times New Roman"/>
                <w:sz w:val="22"/>
                <w:szCs w:val="22"/>
              </w:rPr>
              <w:t xml:space="preserve">Reproduce the entire Project 2 environment from version-controlled infrastructure code, with a pipeline that builds, tests, and deploys automatically on commit. The environment must be destroyable and rebuildable from scratch; the demonstration is a full teardown and rebuild.</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4 — Capstone: Cloud-Native System — </w:t>
            </w:r>
            <w:r>
              <w:rPr>
                <w:rFonts w:ascii="Times New Roman" w:cs="Times New Roman" w:eastAsia="Times New Roman" w:hAnsi="Times New Roman"/>
                <w:sz w:val="22"/>
                <w:szCs w:val="22"/>
              </w:rPr>
              <w:t xml:space="preserve">Design and deploy a scalable, observable cloud-native application of the student’s own choosing, incorporating asynchronous messaging, autoscaling, and full instrumentation. Deliverables are the running system, a technical report covering cost and reliability, and a live presentation during the final session block.</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c>
          <w:tcPr>
            <w:tcW w:type="dxa" w:w="75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TOTAL</w:t>
            </w:r>
          </w:p>
        </w:tc>
        <w:tc>
          <w:tcPr>
            <w:tcW w:type="dxa" w:w="186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100%</w:t>
            </w:r>
          </w:p>
        </w:tc>
      </w:tr>
    </w:tbl>
    <w:p>
      <w:pPr>
        <w:spacing w:after="120" w:before="120" w:line="276"/>
      </w:pPr>
      <w:r>
        <w:rPr>
          <w:rFonts w:ascii="Times New Roman" w:cs="Times New Roman" w:eastAsia="Times New Roman" w:hAnsi="Times New Roman"/>
          <w:b/>
          <w:bCs/>
          <w:i/>
          <w:iCs/>
          <w:sz w:val="22"/>
          <w:szCs w:val="22"/>
        </w:rPr>
        <w:t xml:space="preserve">Note: </w:t>
      </w:r>
      <w:r>
        <w:rPr>
          <w:rFonts w:ascii="Times New Roman" w:cs="Times New Roman" w:eastAsia="Times New Roman" w:hAnsi="Times New Roman"/>
          <w:sz w:val="22"/>
          <w:szCs w:val="22"/>
        </w:rPr>
        <w:t xml:space="preserve">Every project is submitted as a Git repository plus a written report. Late submissions are reduced by 10% per calendar day unless an extension has been granted in advance (see Course Policies).</w:t>
      </w:r>
    </w:p>
    <w:p>
      <w:pPr>
        <w:keepNext/>
        <w:spacing w:after="140" w:before="280" w:line="276"/>
      </w:pPr>
      <w:r>
        <w:rPr>
          <w:rFonts w:ascii="Times New Roman" w:cs="Times New Roman" w:eastAsia="Times New Roman" w:hAnsi="Times New Roman"/>
          <w:b/>
          <w:bCs/>
          <w:sz w:val="26"/>
          <w:szCs w:val="26"/>
        </w:rPr>
        <w:t xml:space="preserve">Weekly Schedule</w:t>
      </w:r>
    </w:p>
    <w:p>
      <w:pPr>
        <w:spacing w:after="120" w:before="0" w:line="276"/>
      </w:pPr>
      <w:r>
        <w:rPr>
          <w:rFonts w:ascii="Times New Roman" w:cs="Times New Roman" w:eastAsia="Times New Roman" w:hAnsi="Times New Roman"/>
          <w:sz w:val="22"/>
          <w:szCs w:val="22"/>
        </w:rPr>
        <w:t xml:space="preserve">LIU Brooklyn Academic Calendar can be found at this URL: </w:t>
      </w:r>
      <w:hyperlink w:history="1" r:id="rIdw5yy_ix0xgagpi4dpbzf0">
        <w:r>
          <w:rPr>
            <w:rStyle w:val="Hyperlink"/>
            <w:rFonts w:ascii="Times New Roman" w:cs="Times New Roman" w:eastAsia="Times New Roman" w:hAnsi="Times New Roman"/>
            <w:color w:val="0563C1"/>
            <w:sz w:val="22"/>
            <w:szCs w:val="22"/>
            <w:u w:val="single"/>
          </w:rPr>
          <w:t xml:space="preserve">https://www.liu.edu/brooklyn/Enrollment-Services/Registration/Academic-Calendar</w:t>
        </w:r>
      </w:hyperlink>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20"/>
        <w:gridCol w:w="1440"/>
        <w:gridCol w:w="3120"/>
        <w:gridCol w:w="1180"/>
        <w:gridCol w:w="2800"/>
      </w:tblGrid>
      <w:tr>
        <w:trPr>
          <w:tblHeader/>
        </w:trPr>
        <w:tc>
          <w:tcPr>
            <w:tcW w:type="dxa" w:w="82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Unit</w:t>
            </w:r>
          </w:p>
        </w:tc>
        <w:tc>
          <w:tcPr>
            <w:tcW w:type="dxa" w:w="144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Session · Date</w:t>
            </w:r>
          </w:p>
        </w:tc>
        <w:tc>
          <w:tcPr>
            <w:tcW w:type="dxa" w:w="312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Topic</w:t>
            </w:r>
          </w:p>
        </w:tc>
        <w:tc>
          <w:tcPr>
            <w:tcW w:type="dxa" w:w="118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Materials*</w:t>
            </w:r>
          </w:p>
        </w:tc>
        <w:tc>
          <w:tcPr>
            <w:tcW w:type="dxa" w:w="280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To Do</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 · Sep 2</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Course overview. What the cloud is, service and deployment models, cloud economics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01</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Create a free-tier cloud account</w:t>
            </w:r>
          </w:p>
          <w:p>
            <w:pPr>
              <w:pStyle w:val="ListParagraph"/>
              <w:numPr>
                <w:ilvl w:val="0"/>
                <w:numId w:val="1"/>
              </w:numPr>
              <w:spacing w:after="80" w:line="276"/>
            </w:pPr>
            <w:r>
              <w:rPr>
                <w:rFonts w:ascii="Times New Roman" w:cs="Times New Roman" w:eastAsia="Times New Roman" w:hAnsi="Times New Roman"/>
                <w:sz w:val="19"/>
                <w:szCs w:val="19"/>
              </w:rPr>
              <w:t xml:space="preserve">Set up Git and GitHub</w:t>
            </w:r>
          </w:p>
          <w:p>
            <w:pPr>
              <w:pStyle w:val="ListParagraph"/>
              <w:numPr>
                <w:ilvl w:val="0"/>
                <w:numId w:val="1"/>
              </w:numPr>
              <w:spacing w:after="80" w:line="276"/>
            </w:pPr>
            <w:r>
              <w:rPr>
                <w:rFonts w:ascii="Times New Roman" w:cs="Times New Roman" w:eastAsia="Times New Roman" w:hAnsi="Times New Roman"/>
                <w:sz w:val="19"/>
                <w:szCs w:val="19"/>
              </w:rPr>
              <w:t xml:space="preserve">Join the course repository</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2</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 · Sep 9</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Virtualization, hypervisors, instances, and the container model</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02</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01–02</w:t>
            </w:r>
          </w:p>
          <w:p>
            <w:pPr>
              <w:pStyle w:val="ListParagraph"/>
              <w:numPr>
                <w:ilvl w:val="0"/>
                <w:numId w:val="1"/>
              </w:numPr>
              <w:spacing w:after="80" w:line="276"/>
            </w:pPr>
            <w:r>
              <w:rPr>
                <w:rFonts w:ascii="Times New Roman" w:cs="Times New Roman" w:eastAsia="Times New Roman" w:hAnsi="Times New Roman"/>
                <w:sz w:val="19"/>
                <w:szCs w:val="19"/>
              </w:rPr>
              <w:t xml:space="preserve">Project 1 specification released</w:t>
            </w:r>
          </w:p>
          <w:p>
            <w:pPr>
              <w:pStyle w:val="ListParagraph"/>
              <w:numPr>
                <w:ilvl w:val="0"/>
                <w:numId w:val="1"/>
              </w:numPr>
              <w:spacing w:after="80" w:line="276"/>
            </w:pPr>
            <w:r>
              <w:rPr>
                <w:rFonts w:ascii="Times New Roman" w:cs="Times New Roman" w:eastAsia="Times New Roman" w:hAnsi="Times New Roman"/>
                <w:i/>
                <w:iCs/>
                <w:sz w:val="19"/>
                <w:szCs w:val="19"/>
              </w:rPr>
              <w:t xml:space="preserve">Sep 7 — no class (Labor Day)</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3</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S3–S4 · Sep 14, Sep 16</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Compute: instance types, images, autoscaling, and serverless functions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03</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03</w:t>
            </w:r>
          </w:p>
          <w:p>
            <w:pPr>
              <w:pStyle w:val="ListParagraph"/>
              <w:numPr>
                <w:ilvl w:val="0"/>
                <w:numId w:val="1"/>
              </w:numPr>
              <w:spacing w:after="80" w:line="276"/>
            </w:pPr>
            <w:r>
              <w:rPr>
                <w:rFonts w:ascii="Times New Roman" w:cs="Times New Roman" w:eastAsia="Times New Roman" w:hAnsi="Times New Roman"/>
                <w:sz w:val="19"/>
                <w:szCs w:val="19"/>
              </w:rPr>
              <w:t xml:space="preserve">Project 1 work begins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4</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S5–S6 · Sep 21, Sep 23</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Storage: object, block, and file. Durability, availability, and consistency</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04</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04</w:t>
            </w:r>
          </w:p>
          <w:p>
            <w:pPr>
              <w:pStyle w:val="ListParagraph"/>
              <w:numPr>
                <w:ilvl w:val="0"/>
                <w:numId w:val="1"/>
              </w:numPr>
              <w:spacing w:after="80" w:line="276"/>
            </w:pPr>
            <w:r>
              <w:rPr>
                <w:rFonts w:ascii="Times New Roman" w:cs="Times New Roman" w:eastAsia="Times New Roman" w:hAnsi="Times New Roman"/>
                <w:sz w:val="19"/>
                <w:szCs w:val="19"/>
              </w:rPr>
              <w:t xml:space="preserve">Project 1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5</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S7–S8 · Sep 28, Sep 30</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Networking: VPCs, subnets, routing, load balancing, DNS, and CDNs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05</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05</w:t>
            </w:r>
          </w:p>
          <w:p>
            <w:pPr>
              <w:pStyle w:val="ListParagraph"/>
              <w:numPr>
                <w:ilvl w:val="0"/>
                <w:numId w:val="1"/>
              </w:numPr>
              <w:spacing w:after="80" w:line="276"/>
            </w:pPr>
            <w:r>
              <w:rPr>
                <w:rFonts w:ascii="Times New Roman" w:cs="Times New Roman" w:eastAsia="Times New Roman" w:hAnsi="Times New Roman"/>
                <w:sz w:val="19"/>
                <w:szCs w:val="19"/>
              </w:rPr>
              <w:t xml:space="preserve">Project 1 due</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6</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S9–S10 · Oct 5, Oct 7</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Identity and access management, secrets, encryption, shared responsibility</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06</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06</w:t>
            </w:r>
          </w:p>
          <w:p>
            <w:pPr>
              <w:pStyle w:val="ListParagraph"/>
              <w:numPr>
                <w:ilvl w:val="0"/>
                <w:numId w:val="1"/>
              </w:numPr>
              <w:spacing w:after="80" w:line="276"/>
            </w:pPr>
            <w:r>
              <w:rPr>
                <w:rFonts w:ascii="Times New Roman" w:cs="Times New Roman" w:eastAsia="Times New Roman" w:hAnsi="Times New Roman"/>
                <w:sz w:val="19"/>
                <w:szCs w:val="19"/>
              </w:rPr>
              <w:t xml:space="preserve">Project 2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7</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S11–S12 · Oct 12, Oct 14</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Docker in depth: images, layers, registries, and build practice</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07</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07</w:t>
            </w:r>
          </w:p>
          <w:p>
            <w:pPr>
              <w:pStyle w:val="ListParagraph"/>
              <w:numPr>
                <w:ilvl w:val="0"/>
                <w:numId w:val="1"/>
              </w:numPr>
              <w:spacing w:after="80" w:line="276"/>
            </w:pPr>
            <w:r>
              <w:rPr>
                <w:rFonts w:ascii="Times New Roman" w:cs="Times New Roman" w:eastAsia="Times New Roman" w:hAnsi="Times New Roman"/>
                <w:sz w:val="19"/>
                <w:szCs w:val="19"/>
              </w:rPr>
              <w:t xml:space="preserve">Project 2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8</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S13–S14 · Oct 19, Oct 21</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Container orchestration: Kubernetes concepts, services, and scaling</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08</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08</w:t>
            </w:r>
          </w:p>
          <w:p>
            <w:pPr>
              <w:pStyle w:val="ListParagraph"/>
              <w:numPr>
                <w:ilvl w:val="0"/>
                <w:numId w:val="1"/>
              </w:numPr>
              <w:spacing w:after="80" w:line="276"/>
            </w:pPr>
            <w:r>
              <w:rPr>
                <w:rFonts w:ascii="Times New Roman" w:cs="Times New Roman" w:eastAsia="Times New Roman" w:hAnsi="Times New Roman"/>
                <w:sz w:val="19"/>
                <w:szCs w:val="19"/>
              </w:rPr>
              <w:t xml:space="preserve">Project 2 due</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9</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S15–S16 · Oct 26, Oct 28</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Managed data services: relational and NoSQL databases, caching</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09</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09</w:t>
            </w:r>
          </w:p>
          <w:p>
            <w:pPr>
              <w:pStyle w:val="ListParagraph"/>
              <w:numPr>
                <w:ilvl w:val="0"/>
                <w:numId w:val="1"/>
              </w:numPr>
              <w:spacing w:after="80" w:line="276"/>
            </w:pPr>
            <w:r>
              <w:rPr>
                <w:rFonts w:ascii="Times New Roman" w:cs="Times New Roman" w:eastAsia="Times New Roman" w:hAnsi="Times New Roman"/>
                <w:sz w:val="19"/>
                <w:szCs w:val="19"/>
              </w:rPr>
              <w:t xml:space="preserve">Project 3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10</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S17–S18 · Nov 2, Nov 4</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Distributed systems: replication, partitioning, CAP, and consensus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10</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10</w:t>
            </w:r>
          </w:p>
          <w:p>
            <w:pPr>
              <w:pStyle w:val="ListParagraph"/>
              <w:numPr>
                <w:ilvl w:val="0"/>
                <w:numId w:val="1"/>
              </w:numPr>
              <w:spacing w:after="80" w:line="276"/>
            </w:pPr>
            <w:r>
              <w:rPr>
                <w:rFonts w:ascii="Times New Roman" w:cs="Times New Roman" w:eastAsia="Times New Roman" w:hAnsi="Times New Roman"/>
                <w:sz w:val="19"/>
                <w:szCs w:val="19"/>
              </w:rPr>
              <w:t xml:space="preserve">Project 3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11</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S19–S20 · Nov 9, Nov 11</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Messaging, queues, and event-driven architecture. Idempotency and retries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11</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11</w:t>
            </w:r>
          </w:p>
          <w:p>
            <w:pPr>
              <w:pStyle w:val="ListParagraph"/>
              <w:numPr>
                <w:ilvl w:val="0"/>
                <w:numId w:val="1"/>
              </w:numPr>
              <w:spacing w:after="80" w:line="276"/>
            </w:pPr>
            <w:r>
              <w:rPr>
                <w:rFonts w:ascii="Times New Roman" w:cs="Times New Roman" w:eastAsia="Times New Roman" w:hAnsi="Times New Roman"/>
                <w:sz w:val="19"/>
                <w:szCs w:val="19"/>
              </w:rPr>
              <w:t xml:space="preserve">Project 3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12</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S21–S22 · Nov 16, Nov 18</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Infrastructure as code with Terraform. CI/CD pipelines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12</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12</w:t>
            </w:r>
          </w:p>
          <w:p>
            <w:pPr>
              <w:pStyle w:val="ListParagraph"/>
              <w:numPr>
                <w:ilvl w:val="0"/>
                <w:numId w:val="1"/>
              </w:numPr>
              <w:spacing w:after="80" w:line="276"/>
            </w:pPr>
            <w:r>
              <w:rPr>
                <w:rFonts w:ascii="Times New Roman" w:cs="Times New Roman" w:eastAsia="Times New Roman" w:hAnsi="Times New Roman"/>
                <w:sz w:val="19"/>
                <w:szCs w:val="19"/>
              </w:rPr>
              <w:t xml:space="preserve">Project 3 due</w:t>
            </w:r>
          </w:p>
          <w:p>
            <w:pPr>
              <w:pStyle w:val="ListParagraph"/>
              <w:numPr>
                <w:ilvl w:val="0"/>
                <w:numId w:val="1"/>
              </w:numPr>
              <w:spacing w:after="80" w:line="276"/>
            </w:pPr>
            <w:r>
              <w:rPr>
                <w:rFonts w:ascii="Times New Roman" w:cs="Times New Roman" w:eastAsia="Times New Roman" w:hAnsi="Times New Roman"/>
                <w:sz w:val="19"/>
                <w:szCs w:val="19"/>
              </w:rPr>
              <w:t xml:space="preserve">Project 4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13</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S23–S24 · Nov 23, Nov 25</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Observability: logging, metrics, tracing, alerting, and SRE practice</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13</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13</w:t>
            </w:r>
          </w:p>
          <w:p>
            <w:pPr>
              <w:pStyle w:val="ListParagraph"/>
              <w:numPr>
                <w:ilvl w:val="0"/>
                <w:numId w:val="1"/>
              </w:numPr>
              <w:spacing w:after="80" w:line="276"/>
            </w:pPr>
            <w:r>
              <w:rPr>
                <w:rFonts w:ascii="Times New Roman" w:cs="Times New Roman" w:eastAsia="Times New Roman" w:hAnsi="Times New Roman"/>
                <w:sz w:val="19"/>
                <w:szCs w:val="19"/>
              </w:rPr>
              <w:t xml:space="preserve">Capstone proposal due</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14</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S25–S26 · Nov 30, Dec 2</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Cost optimization, capacity planning, multi-cloud, and managed AI/ML services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14</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14</w:t>
            </w:r>
          </w:p>
          <w:p>
            <w:pPr>
              <w:pStyle w:val="ListParagraph"/>
              <w:numPr>
                <w:ilvl w:val="0"/>
                <w:numId w:val="1"/>
              </w:numPr>
              <w:spacing w:after="80" w:line="276"/>
            </w:pPr>
            <w:r>
              <w:rPr>
                <w:rFonts w:ascii="Times New Roman" w:cs="Times New Roman" w:eastAsia="Times New Roman" w:hAnsi="Times New Roman"/>
                <w:sz w:val="19"/>
                <w:szCs w:val="19"/>
              </w:rPr>
              <w:t xml:space="preserve">Capstone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15</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S27–S28 · Dec 7, Dec 9</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Cloud architecture review and trade-offs. Capstone presentations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15</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15</w:t>
            </w:r>
          </w:p>
          <w:p>
            <w:pPr>
              <w:pStyle w:val="ListParagraph"/>
              <w:numPr>
                <w:ilvl w:val="0"/>
                <w:numId w:val="1"/>
              </w:numPr>
              <w:spacing w:after="80" w:line="276"/>
            </w:pPr>
            <w:r>
              <w:rPr>
                <w:rFonts w:ascii="Times New Roman" w:cs="Times New Roman" w:eastAsia="Times New Roman" w:hAnsi="Times New Roman"/>
                <w:sz w:val="19"/>
                <w:szCs w:val="19"/>
              </w:rPr>
              <w:t xml:space="preserve">Capstone presentations</w:t>
            </w:r>
          </w:p>
          <w:p>
            <w:pPr>
              <w:pStyle w:val="ListParagraph"/>
              <w:numPr>
                <w:ilvl w:val="0"/>
                <w:numId w:val="1"/>
              </w:numPr>
              <w:spacing w:after="80" w:line="276"/>
            </w:pPr>
            <w:r>
              <w:rPr>
                <w:rFonts w:ascii="Times New Roman" w:cs="Times New Roman" w:eastAsia="Times New Roman" w:hAnsi="Times New Roman"/>
                <w:sz w:val="19"/>
                <w:szCs w:val="19"/>
              </w:rPr>
              <w:t xml:space="preserve">Final report and deployment submission</w:t>
            </w:r>
          </w:p>
        </w:tc>
      </w:tr>
      <w:t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Finals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Dec 14–21</w:t>
            </w:r>
          </w:p>
        </w:tc>
        <w:tc>
          <w:tcPr>
            <w:tcW w:type="dxa" w:w="71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19"/>
                <w:szCs w:val="19"/>
              </w:rPr>
              <w:t xml:space="preserve">Final capstone deliverables due. No final examination.</w:t>
            </w:r>
          </w:p>
        </w:tc>
      </w:tr>
    </w:tbl>
    <w:p>
      <w:pPr>
        <w:spacing w:after="120" w:before="100" w:line="276"/>
      </w:pPr>
      <w:r>
        <w:rPr>
          <w:rFonts w:ascii="Times New Roman" w:cs="Times New Roman" w:eastAsia="Times New Roman" w:hAnsi="Times New Roman"/>
          <w:b/>
          <w:bCs/>
          <w:sz w:val="22"/>
          <w:szCs w:val="22"/>
        </w:rPr>
        <w:t xml:space="preserve">Note (*): </w:t>
      </w:r>
      <w:r>
        <w:rPr>
          <w:rFonts w:ascii="Times New Roman" w:cs="Times New Roman" w:eastAsia="Times New Roman" w:hAnsi="Times New Roman"/>
          <w:b/>
          <w:bCs/>
          <w:sz w:val="22"/>
          <w:szCs w:val="22"/>
        </w:rPr>
        <w:t xml:space="preserve">“Notes NN” refers to the instructor-written note set posted in the course repository for that week. The schedule above is aligned to the LIU Brooklyn academic calendar; any session affected by a University holiday, closure, or calendar change will be adjusted and announced in class and on Brightspace (lms.liu.edu) in advance.</w:t>
      </w:r>
    </w:p>
    <w:p>
      <w:pPr>
        <w:keepNext/>
        <w:spacing w:after="140" w:before="280" w:line="276"/>
      </w:pPr>
      <w:r>
        <w:rPr>
          <w:rFonts w:ascii="Times New Roman" w:cs="Times New Roman" w:eastAsia="Times New Roman" w:hAnsi="Times New Roman"/>
          <w:b/>
          <w:bCs/>
          <w:sz w:val="26"/>
          <w:szCs w:val="26"/>
        </w:rPr>
        <w:t xml:space="preserve">Course Time Commitment</w:t>
      </w:r>
    </w:p>
    <w:tbl>
      <w:tblPr>
        <w:tblW w:type="dxa" w:w="5800"/>
        <w:jc w:val="center"/>
        <w:tblBorders>
          <w:top w:val="single" w:color="auto" w:sz="4"/>
          <w:left w:val="single" w:color="auto" w:sz="4"/>
          <w:bottom w:val="single" w:color="auto" w:sz="4"/>
          <w:right w:val="single" w:color="auto" w:sz="4"/>
          <w:insideH w:val="single" w:color="auto" w:sz="4"/>
          <w:insideV w:val="single" w:color="auto" w:sz="4"/>
        </w:tblBorders>
      </w:tblPr>
      <w:tblGrid>
        <w:gridCol w:w="3400"/>
        <w:gridCol w:w="2400"/>
      </w:tblGrid>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Synchronous class sessions</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51 h (28 sessions × 1.83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Review of posted notes</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30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1 — First Cloud Deployment</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17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2 — Containerized Application</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20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3 — Infrastructure as Code and CI/CD</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20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4 — Capstone and presentation</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22 h</w:t>
            </w:r>
          </w:p>
        </w:tc>
      </w:tr>
      <w:tr>
        <w:tc>
          <w:tcPr>
            <w:tcW w:type="dxa" w:w="34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Total</w:t>
            </w:r>
          </w:p>
        </w:tc>
        <w:tc>
          <w:tcPr>
            <w:tcW w:type="dxa" w:w="24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160 h</w:t>
            </w:r>
          </w:p>
        </w:tc>
      </w:tr>
    </w:tbl>
    <w:p>
      <w:pPr>
        <w:keepNext/>
        <w:spacing w:after="140" w:before="280" w:line="276"/>
      </w:pPr>
      <w:r>
        <w:rPr>
          <w:rFonts w:ascii="Times New Roman" w:cs="Times New Roman" w:eastAsia="Times New Roman" w:hAnsi="Times New Roman"/>
          <w:b/>
          <w:bCs/>
          <w:sz w:val="26"/>
          <w:szCs w:val="26"/>
        </w:rPr>
        <w:t xml:space="preserve">Course Policies</w:t>
      </w:r>
    </w:p>
    <w:p>
      <w:pPr>
        <w:pStyle w:val="ListParagraph"/>
        <w:numPr>
          <w:ilvl w:val="0"/>
          <w:numId w:val="1"/>
        </w:numPr>
        <w:spacing w:after="80" w:line="276"/>
      </w:pPr>
      <w:r>
        <w:rPr>
          <w:rFonts w:ascii="Times New Roman" w:cs="Times New Roman" w:eastAsia="Times New Roman" w:hAnsi="Times New Roman"/>
          <w:sz w:val="22"/>
          <w:szCs w:val="22"/>
        </w:rPr>
        <w:t xml:space="preserve">All class sessions are held live on Google Meet at the scheduled times. Students are expected to attend, to have their development environment running, and to be able to share their screen when demonstrating work.</w:t>
      </w:r>
    </w:p>
    <w:p>
      <w:pPr>
        <w:pStyle w:val="ListParagraph"/>
        <w:numPr>
          <w:ilvl w:val="0"/>
          <w:numId w:val="1"/>
        </w:numPr>
        <w:spacing w:after="80" w:line="276"/>
      </w:pPr>
      <w:r>
        <w:rPr>
          <w:rFonts w:ascii="Times New Roman" w:cs="Times New Roman" w:eastAsia="Times New Roman" w:hAnsi="Times New Roman"/>
          <w:sz w:val="22"/>
          <w:szCs w:val="22"/>
        </w:rPr>
        <w:t xml:space="preserve">Modes of communication for this course are Brightspace (lms.liu.edu) and email. Expect a reply within 24 hours.</w:t>
      </w:r>
    </w:p>
    <w:p>
      <w:pPr>
        <w:pStyle w:val="ListParagraph"/>
        <w:numPr>
          <w:ilvl w:val="0"/>
          <w:numId w:val="1"/>
        </w:numPr>
        <w:spacing w:after="80" w:line="276"/>
      </w:pPr>
      <w:r>
        <w:rPr>
          <w:rFonts w:ascii="Times New Roman" w:cs="Times New Roman" w:eastAsia="Times New Roman" w:hAnsi="Times New Roman"/>
          <w:sz w:val="22"/>
          <w:szCs w:val="22"/>
        </w:rPr>
        <w:t xml:space="preserve">Virtual office hours are held by appointment. Email the instructor to schedule; requests are accommodated within normal business hours wherever possible.</w:t>
      </w:r>
    </w:p>
    <w:p>
      <w:pPr>
        <w:pStyle w:val="ListParagraph"/>
        <w:numPr>
          <w:ilvl w:val="0"/>
          <w:numId w:val="1"/>
        </w:numPr>
        <w:spacing w:after="80" w:line="276"/>
      </w:pPr>
      <w:r>
        <w:rPr>
          <w:rFonts w:ascii="Times New Roman" w:cs="Times New Roman" w:eastAsia="Times New Roman" w:hAnsi="Times New Roman"/>
          <w:sz w:val="22"/>
          <w:szCs w:val="22"/>
        </w:rPr>
        <w:t xml:space="preserve">All course notes, examples, and project specifications are distributed through the course repository. Students are responsible for pulling the current version before each session.</w:t>
      </w:r>
    </w:p>
    <w:p>
      <w:pPr>
        <w:pStyle w:val="ListParagraph"/>
        <w:numPr>
          <w:ilvl w:val="0"/>
          <w:numId w:val="1"/>
        </w:numPr>
        <w:spacing w:after="80" w:line="276"/>
      </w:pPr>
      <w:r>
        <w:rPr>
          <w:rFonts w:ascii="Times New Roman" w:cs="Times New Roman" w:eastAsia="Times New Roman" w:hAnsi="Times New Roman"/>
          <w:sz w:val="22"/>
          <w:szCs w:val="22"/>
        </w:rPr>
        <w:t xml:space="preserve">Every project is submitted through Brightspace as a link to the student’s Git repository, together with the written report. Commit history is part of the evidence of individual work.</w:t>
      </w:r>
    </w:p>
    <w:p>
      <w:pPr>
        <w:pStyle w:val="ListParagraph"/>
        <w:numPr>
          <w:ilvl w:val="0"/>
          <w:numId w:val="1"/>
        </w:numPr>
        <w:spacing w:after="80" w:line="276"/>
      </w:pPr>
      <w:r>
        <w:rPr>
          <w:rFonts w:ascii="Times New Roman" w:cs="Times New Roman" w:eastAsia="Times New Roman" w:hAnsi="Times New Roman"/>
          <w:sz w:val="22"/>
          <w:szCs w:val="22"/>
        </w:rPr>
        <w:t xml:space="preserve">Late work is reduced by 10% per calendar day. Extensions for project deliverables are granted only for a documented medical or family emergency, and must be requested before the deadline by email to the instructor.</w:t>
      </w:r>
    </w:p>
    <w:p>
      <w:pPr>
        <w:pStyle w:val="ListParagraph"/>
        <w:numPr>
          <w:ilvl w:val="0"/>
          <w:numId w:val="1"/>
        </w:numPr>
        <w:spacing w:after="80" w:line="276"/>
      </w:pPr>
      <w:r>
        <w:rPr>
          <w:rFonts w:ascii="Times New Roman" w:cs="Times New Roman" w:eastAsia="Times New Roman" w:hAnsi="Times New Roman"/>
          <w:sz w:val="22"/>
          <w:szCs w:val="22"/>
        </w:rPr>
        <w:t xml:space="preserve">Projects are individual work unless a specification explicitly designates the project as a team deliverable. Students may discuss approaches with one another, but submitted code, models, and writing must be the student’s own.</w:t>
      </w:r>
    </w:p>
    <w:p>
      <w:pPr>
        <w:pStyle w:val="ListParagraph"/>
        <w:numPr>
          <w:ilvl w:val="0"/>
          <w:numId w:val="1"/>
        </w:numPr>
        <w:spacing w:after="80" w:line="276"/>
      </w:pPr>
      <w:r>
        <w:rPr>
          <w:rFonts w:ascii="Times New Roman" w:cs="Times New Roman" w:eastAsia="Times New Roman" w:hAnsi="Times New Roman"/>
          <w:sz w:val="22"/>
          <w:szCs w:val="22"/>
        </w:rPr>
        <w:t xml:space="preserve">Generative AI tools may be used as a learning aid and are treated the same as any other reference: any AI-assisted portion of a submission must be disclosed in the project report, and the student must be able to explain and defend every line of what they submit. Undisclosed use, or submitted work the student cannot explain, is handled under the Academic Integrity policy in the Appendix.</w:t>
      </w:r>
    </w:p>
    <w:p>
      <w:pPr>
        <w:pStyle w:val="ListParagraph"/>
        <w:numPr>
          <w:ilvl w:val="0"/>
          <w:numId w:val="1"/>
        </w:numPr>
        <w:spacing w:after="80" w:line="276"/>
      </w:pPr>
      <w:r>
        <w:rPr>
          <w:rFonts w:ascii="Times New Roman" w:cs="Times New Roman" w:eastAsia="Times New Roman" w:hAnsi="Times New Roman"/>
          <w:sz w:val="22"/>
          <w:szCs w:val="22"/>
        </w:rPr>
        <w:t xml:space="preserve">Recording of class sessions by students is not permitted without the instructor’s prior written consent.</w:t>
      </w:r>
    </w:p>
    <w:p>
      <w:pPr>
        <w:spacing w:after="140" w:before="320"/>
      </w:pPr>
      <w:r>
        <w:rPr>
          <w:rFonts w:ascii="Times New Roman" w:cs="Times New Roman" w:eastAsia="Times New Roman" w:hAnsi="Times New Roman"/>
          <w:b/>
          <w:bCs/>
          <w:sz w:val="30"/>
          <w:szCs w:val="30"/>
        </w:rPr>
        <w:t xml:space="preserve">Disclaimer:</w:t>
      </w:r>
    </w:p>
    <w:p>
      <w:pPr>
        <w:spacing w:after="120" w:before="0" w:line="276"/>
      </w:pPr>
      <w:r>
        <w:rPr>
          <w:rFonts w:ascii="Times New Roman" w:cs="Times New Roman" w:eastAsia="Times New Roman" w:hAnsi="Times New Roman"/>
          <w:b/>
          <w:bCs/>
          <w:i/>
          <w:iCs/>
          <w:sz w:val="22"/>
          <w:szCs w:val="22"/>
        </w:rPr>
        <w:t xml:space="preserve">The syllabus is a tentative schedule and the instructor reserves the right to make any changes to fulfill the objectives of the courses and meet students’ needs.</w:t>
      </w:r>
    </w:p>
    <w:p>
      <w:pPr>
        <w:pageBreakBefore/>
        <w:spacing w:after="160"/>
      </w:pPr>
      <w:r>
        <w:rPr>
          <w:rFonts w:ascii="Times New Roman" w:cs="Times New Roman" w:eastAsia="Times New Roman" w:hAnsi="Times New Roman"/>
          <w:b/>
          <w:bCs/>
          <w:sz w:val="32"/>
          <w:szCs w:val="32"/>
        </w:rPr>
        <w:t xml:space="preserve">Appendix</w:t>
      </w:r>
    </w:p>
    <w:p>
      <w:pPr>
        <w:keepNext/>
        <w:spacing w:after="140" w:before="280" w:line="276"/>
      </w:pPr>
      <w:r>
        <w:rPr>
          <w:rFonts w:ascii="Times New Roman" w:cs="Times New Roman" w:eastAsia="Times New Roman" w:hAnsi="Times New Roman"/>
          <w:b/>
          <w:bCs/>
          <w:sz w:val="26"/>
          <w:szCs w:val="26"/>
        </w:rPr>
        <w:t xml:space="preserve">Academic Integrity</w:t>
      </w:r>
    </w:p>
    <w:p>
      <w:pPr>
        <w:spacing w:after="120" w:before="0" w:line="276"/>
      </w:pPr>
      <w:r>
        <w:rPr>
          <w:rFonts w:ascii="Times New Roman" w:cs="Times New Roman" w:eastAsia="Times New Roman" w:hAnsi="Times New Roman"/>
          <w:sz w:val="22"/>
          <w:szCs w:val="22"/>
        </w:rPr>
        <w:t xml:space="preserve">Academic dishonesty is unacceptable and will not be tolerated. Cheating, forgery, plagiarism and collusion in dishonest acts undermine the educational mission of Long Island University and the students' personal and intellectual growth. Policies and resources related to plagiarism can be found at: </w:t>
      </w:r>
      <w:hyperlink w:history="1" r:id="rIdxtyfveu2510mejanslrh0">
        <w:r>
          <w:rPr>
            <w:rStyle w:val="Hyperlink"/>
            <w:rFonts w:ascii="Times New Roman" w:cs="Times New Roman" w:eastAsia="Times New Roman" w:hAnsi="Times New Roman"/>
            <w:color w:val="0563C1"/>
            <w:sz w:val="22"/>
            <w:szCs w:val="22"/>
            <w:u w:val="single"/>
          </w:rPr>
          <w:t xml:space="preserve">http://liu.brooklyn.libguides.com/avoid-detect-plagiarism</w:t>
        </w:r>
      </w:hyperlink>
      <w:r>
        <w:rPr>
          <w:rFonts w:ascii="Times New Roman" w:cs="Times New Roman" w:eastAsia="Times New Roman" w:hAnsi="Times New Roman"/>
          <w:sz w:val="22"/>
          <w:szCs w:val="22"/>
        </w:rPr>
        <w:t xml:space="preserve">. University academic policies can be found in the current course bulletin, located here: </w:t>
      </w:r>
      <w:hyperlink w:history="1" r:id="rIdetsupkmpjtn7g8o1q7ibu">
        <w:r>
          <w:rPr>
            <w:rStyle w:val="Hyperlink"/>
            <w:rFonts w:ascii="Times New Roman" w:cs="Times New Roman" w:eastAsia="Times New Roman" w:hAnsi="Times New Roman"/>
            <w:color w:val="0563C1"/>
            <w:sz w:val="22"/>
            <w:szCs w:val="22"/>
            <w:u w:val="single"/>
          </w:rPr>
          <w:t xml:space="preserve">http://www.liu.edu/Brooklyn/Enrollment-Services/Registration/Academic-Bulletins</w:t>
        </w:r>
      </w:hyperlink>
      <w:r>
        <w:rPr>
          <w:rFonts w:ascii="Times New Roman" w:cs="Times New Roman" w:eastAsia="Times New Roman" w:hAnsi="Times New Roman"/>
          <w:sz w:val="22"/>
          <w:szCs w:val="22"/>
        </w:rPr>
        <w:t xml:space="preserve">.</w:t>
      </w:r>
    </w:p>
    <w:p>
      <w:pPr>
        <w:keepNext/>
        <w:spacing w:after="140" w:before="280" w:line="276"/>
      </w:pPr>
      <w:r>
        <w:rPr>
          <w:rFonts w:ascii="Times New Roman" w:cs="Times New Roman" w:eastAsia="Times New Roman" w:hAnsi="Times New Roman"/>
          <w:b/>
          <w:bCs/>
          <w:sz w:val="26"/>
          <w:szCs w:val="26"/>
        </w:rPr>
        <w:t xml:space="preserve">Copyright and Intellectual Property</w:t>
      </w:r>
    </w:p>
    <w:p>
      <w:pPr>
        <w:spacing w:after="120" w:before="0" w:line="276"/>
      </w:pPr>
      <w:r>
        <w:rPr>
          <w:rFonts w:ascii="Times New Roman" w:cs="Times New Roman" w:eastAsia="Times New Roman" w:hAnsi="Times New Roman"/>
          <w:sz w:val="22"/>
          <w:szCs w:val="22"/>
        </w:rPr>
        <w:t xml:space="preserve">Students are advised not to make copies or take digital pictures of paid and copyrighted cases, textbooks, chapters, or any other material that is copyrighted without permission of the publisher or the owner.</w:t>
      </w:r>
    </w:p>
    <w:p>
      <w:pPr>
        <w:keepNext/>
        <w:spacing w:after="140" w:before="280" w:line="276"/>
      </w:pPr>
      <w:r>
        <w:rPr>
          <w:rFonts w:ascii="Times New Roman" w:cs="Times New Roman" w:eastAsia="Times New Roman" w:hAnsi="Times New Roman"/>
          <w:b/>
          <w:bCs/>
          <w:sz w:val="26"/>
          <w:szCs w:val="26"/>
        </w:rPr>
        <w:t xml:space="preserve">Anti-Harassment</w:t>
      </w:r>
    </w:p>
    <w:p>
      <w:pPr>
        <w:spacing w:after="120" w:before="0" w:line="276"/>
      </w:pPr>
      <w:r>
        <w:rPr>
          <w:rFonts w:ascii="Times New Roman" w:cs="Times New Roman" w:eastAsia="Times New Roman" w:hAnsi="Times New Roman"/>
          <w:sz w:val="22"/>
          <w:szCs w:val="22"/>
        </w:rPr>
        <w:t xml:space="preserve">LIU Brooklyn is committed to maintaining a learning and working environment that is free of bias, prejudice, discrimination and harassment. Its anti-harassment/discrimination policy and complaint procedure can be accessed here: </w:t>
      </w:r>
      <w:hyperlink w:history="1" r:id="rIdfkbjalqhmxgxcozyrc6am">
        <w:r>
          <w:rPr>
            <w:rStyle w:val="Hyperlink"/>
            <w:rFonts w:ascii="Times New Roman" w:cs="Times New Roman" w:eastAsia="Times New Roman" w:hAnsi="Times New Roman"/>
            <w:color w:val="0563C1"/>
            <w:sz w:val="22"/>
            <w:szCs w:val="22"/>
            <w:u w:val="single"/>
          </w:rPr>
          <w:t xml:space="preserve">https://www.liu.edu/Human-Resources/Human-Resources-Policies/Anti-Harassment-Discrimination-Policy</w:t>
        </w:r>
      </w:hyperlink>
    </w:p>
    <w:p>
      <w:pPr>
        <w:keepNext/>
        <w:spacing w:after="140" w:before="280" w:line="276"/>
      </w:pPr>
      <w:r>
        <w:rPr>
          <w:rFonts w:ascii="Times New Roman" w:cs="Times New Roman" w:eastAsia="Times New Roman" w:hAnsi="Times New Roman"/>
          <w:b/>
          <w:bCs/>
          <w:sz w:val="26"/>
          <w:szCs w:val="26"/>
        </w:rPr>
        <w:t xml:space="preserve">Student Support Services</w:t>
      </w:r>
    </w:p>
    <w:p>
      <w:pPr>
        <w:spacing w:after="120" w:before="0" w:line="276"/>
      </w:pPr>
      <w:r>
        <w:rPr>
          <w:rFonts w:ascii="Times New Roman" w:cs="Times New Roman" w:eastAsia="Times New Roman" w:hAnsi="Times New Roman"/>
          <w:sz w:val="22"/>
          <w:szCs w:val="22"/>
        </w:rPr>
        <w:t xml:space="preserve">Student support services could be found by following these links:</w:t>
      </w:r>
    </w:p>
    <w:p>
      <w:pPr>
        <w:spacing w:after="60" w:before="0" w:line="276"/>
      </w:pPr>
      <w:hyperlink w:history="1" r:id="rIdfowyyx72rlbsr81lcnbbr">
        <w:r>
          <w:rPr>
            <w:rStyle w:val="Hyperlink"/>
            <w:rFonts w:ascii="Times New Roman" w:cs="Times New Roman" w:eastAsia="Times New Roman" w:hAnsi="Times New Roman"/>
            <w:color w:val="0563C1"/>
            <w:sz w:val="22"/>
            <w:szCs w:val="22"/>
            <w:u w:val="single"/>
          </w:rPr>
          <w:t xml:space="preserve">Enrollment Services</w:t>
        </w:r>
      </w:hyperlink>
    </w:p>
    <w:p>
      <w:pPr>
        <w:spacing w:after="60" w:before="0" w:line="276"/>
      </w:pPr>
      <w:hyperlink w:history="1" r:id="rId4g-zwmqhbscbozfvk5chj">
        <w:r>
          <w:rPr>
            <w:rStyle w:val="Hyperlink"/>
            <w:rFonts w:ascii="Times New Roman" w:cs="Times New Roman" w:eastAsia="Times New Roman" w:hAnsi="Times New Roman"/>
            <w:color w:val="0563C1"/>
            <w:sz w:val="22"/>
            <w:szCs w:val="22"/>
            <w:u w:val="single"/>
          </w:rPr>
          <w:t xml:space="preserve">Writing Center</w:t>
        </w:r>
      </w:hyperlink>
    </w:p>
    <w:p>
      <w:pPr>
        <w:spacing w:after="60" w:before="0" w:line="276"/>
      </w:pPr>
      <w:hyperlink w:history="1" r:id="rIdjypkr5xdygwprnbgma0uu">
        <w:r>
          <w:rPr>
            <w:rStyle w:val="Hyperlink"/>
            <w:rFonts w:ascii="Times New Roman" w:cs="Times New Roman" w:eastAsia="Times New Roman" w:hAnsi="Times New Roman"/>
            <w:color w:val="0563C1"/>
            <w:sz w:val="22"/>
            <w:szCs w:val="22"/>
            <w:u w:val="single"/>
          </w:rPr>
          <w:t xml:space="preserve">Learning Communities</w:t>
        </w:r>
      </w:hyperlink>
    </w:p>
    <w:p>
      <w:pPr>
        <w:keepNext/>
        <w:spacing w:after="140" w:before="280" w:line="276"/>
      </w:pPr>
      <w:r>
        <w:rPr>
          <w:rFonts w:ascii="Times New Roman" w:cs="Times New Roman" w:eastAsia="Times New Roman" w:hAnsi="Times New Roman"/>
          <w:b/>
          <w:bCs/>
          <w:sz w:val="26"/>
          <w:szCs w:val="26"/>
        </w:rPr>
        <w:t xml:space="preserve">Accommodations for Students with Disability/Special Needs</w:t>
      </w:r>
    </w:p>
    <w:p>
      <w:pPr>
        <w:spacing w:after="120" w:before="0" w:line="276"/>
      </w:pPr>
      <w:r>
        <w:rPr>
          <w:rFonts w:ascii="Times New Roman" w:cs="Times New Roman" w:eastAsia="Times New Roman" w:hAnsi="Times New Roman"/>
          <w:sz w:val="22"/>
          <w:szCs w:val="22"/>
        </w:rPr>
        <w:t xml:space="preserve">In accordance with Section 504 of the Rehabilitation Act of 1973 and the Americans with Disabilities Act of 1990, including changes made by the Americans with Disabilities Amendments Act of 2008, the Long Island University does not discriminate against qualified individuals with disabilities. If you are a student with a documented disability/impairment (Psychological, Neurological, Chronic Medical, Learning Disability, Sensory, Physical) and require reasonable accommodations, please provide me with an Accommodation Letter from Student Support Services (see below for contact information).</w:t>
      </w:r>
    </w:p>
    <w:p>
      <w:pPr>
        <w:spacing w:after="40" w:before="0" w:line="276"/>
      </w:pPr>
      <w:r>
        <w:rPr>
          <w:rFonts w:ascii="Times New Roman" w:cs="Times New Roman" w:eastAsia="Times New Roman" w:hAnsi="Times New Roman"/>
          <w:sz w:val="22"/>
          <w:szCs w:val="22"/>
        </w:rPr>
        <w:t xml:space="preserve">Location: Sloan Building – 1st Floor</w:t>
      </w:r>
    </w:p>
    <w:p>
      <w:pPr>
        <w:spacing w:after="40" w:before="0" w:line="276"/>
      </w:pPr>
      <w:r>
        <w:rPr>
          <w:rFonts w:ascii="Times New Roman" w:cs="Times New Roman" w:eastAsia="Times New Roman" w:hAnsi="Times New Roman"/>
          <w:sz w:val="22"/>
          <w:szCs w:val="22"/>
        </w:rPr>
        <w:t xml:space="preserve">Contact Number: (718) 488-1044</w:t>
      </w:r>
    </w:p>
    <w:p>
      <w:pPr>
        <w:spacing w:after="40" w:before="0" w:line="276"/>
      </w:pPr>
      <w:r>
        <w:rPr>
          <w:rFonts w:ascii="Times New Roman" w:cs="Times New Roman" w:eastAsia="Times New Roman" w:hAnsi="Times New Roman"/>
          <w:sz w:val="22"/>
          <w:szCs w:val="22"/>
        </w:rPr>
        <w:t xml:space="preserve">Hours of operation: Monday – Friday 9am-5pm</w:t>
      </w:r>
    </w:p>
    <w:p>
      <w:pPr>
        <w:spacing w:after="120" w:before="0" w:line="276"/>
      </w:pPr>
      <w:r>
        <w:rPr>
          <w:rFonts w:ascii="Times New Roman" w:cs="Times New Roman" w:eastAsia="Times New Roman" w:hAnsi="Times New Roman"/>
          <w:sz w:val="22"/>
          <w:szCs w:val="22"/>
        </w:rPr>
        <w:t xml:space="preserve">Email address: </w:t>
      </w:r>
      <w:hyperlink w:history="1" r:id="rIdpbsmrfqc5fnrpkh_ukwx-">
        <w:r>
          <w:rPr>
            <w:rStyle w:val="Hyperlink"/>
            <w:rFonts w:ascii="Times New Roman" w:cs="Times New Roman" w:eastAsia="Times New Roman" w:hAnsi="Times New Roman"/>
            <w:color w:val="0563C1"/>
            <w:sz w:val="22"/>
            <w:szCs w:val="22"/>
            <w:u w:val="single"/>
          </w:rPr>
          <w:t xml:space="preserve">studentsupportservices@brooklyn.liu.edu</w:t>
        </w:r>
      </w:hyperlink>
    </w:p>
    <w:p>
      <w:pPr>
        <w:keepNext/>
        <w:spacing w:after="140" w:before="280" w:line="276"/>
      </w:pPr>
      <w:r>
        <w:rPr>
          <w:rFonts w:ascii="Times New Roman" w:cs="Times New Roman" w:eastAsia="Times New Roman" w:hAnsi="Times New Roman"/>
          <w:b/>
          <w:bCs/>
          <w:sz w:val="26"/>
          <w:szCs w:val="26"/>
        </w:rPr>
        <w:t xml:space="preserve">Student Grievance Procedure</w:t>
      </w:r>
    </w:p>
    <w:p>
      <w:pPr>
        <w:spacing w:after="120" w:before="0" w:line="276"/>
      </w:pPr>
      <w:r>
        <w:rPr>
          <w:rFonts w:ascii="Times New Roman" w:cs="Times New Roman" w:eastAsia="Times New Roman" w:hAnsi="Times New Roman"/>
          <w:sz w:val="22"/>
          <w:szCs w:val="22"/>
        </w:rPr>
        <w:t xml:space="preserve">The procedure for resolving student grievances is outlined in the Brooklyn Campus Undergraduate and Graduate Bulletins. Students are advised to adhere to the following steps:</w:t>
      </w:r>
    </w:p>
    <w:p>
      <w:pPr>
        <w:pStyle w:val="ListParagraph"/>
        <w:numPr>
          <w:ilvl w:val="0"/>
          <w:numId w:val="2"/>
        </w:numPr>
        <w:spacing w:after="80" w:line="276"/>
      </w:pPr>
      <w:r>
        <w:rPr>
          <w:rFonts w:ascii="Times New Roman" w:cs="Times New Roman" w:eastAsia="Times New Roman" w:hAnsi="Times New Roman"/>
          <w:sz w:val="22"/>
          <w:szCs w:val="22"/>
        </w:rPr>
        <w:t xml:space="preserve">Students must first speak directly with the involved instructor or student to resolve the problem.</w:t>
      </w:r>
    </w:p>
    <w:p>
      <w:pPr>
        <w:pStyle w:val="ListParagraph"/>
        <w:numPr>
          <w:ilvl w:val="0"/>
          <w:numId w:val="2"/>
        </w:numPr>
        <w:spacing w:after="80" w:line="276"/>
      </w:pPr>
      <w:r>
        <w:rPr>
          <w:rFonts w:ascii="Times New Roman" w:cs="Times New Roman" w:eastAsia="Times New Roman" w:hAnsi="Times New Roman"/>
          <w:sz w:val="22"/>
          <w:szCs w:val="22"/>
        </w:rPr>
        <w:t xml:space="preserve">If direct discussions fail, students may request a conference with their faculty advisor.</w:t>
      </w:r>
    </w:p>
    <w:p>
      <w:pPr>
        <w:pStyle w:val="ListParagraph"/>
        <w:numPr>
          <w:ilvl w:val="0"/>
          <w:numId w:val="2"/>
        </w:numPr>
        <w:spacing w:after="80" w:line="276"/>
      </w:pPr>
      <w:r>
        <w:rPr>
          <w:rFonts w:ascii="Times New Roman" w:cs="Times New Roman" w:eastAsia="Times New Roman" w:hAnsi="Times New Roman"/>
          <w:sz w:val="22"/>
          <w:szCs w:val="22"/>
        </w:rPr>
        <w:t xml:space="preserve">If step 2 is not successful in resolving the problem, students may request a conference with the Program Director/Department Chair.</w:t>
      </w:r>
    </w:p>
    <w:p>
      <w:pPr>
        <w:pStyle w:val="ListParagraph"/>
        <w:numPr>
          <w:ilvl w:val="0"/>
          <w:numId w:val="2"/>
        </w:numPr>
        <w:spacing w:after="80" w:line="276"/>
      </w:pPr>
      <w:r>
        <w:rPr>
          <w:rFonts w:ascii="Times New Roman" w:cs="Times New Roman" w:eastAsia="Times New Roman" w:hAnsi="Times New Roman"/>
          <w:sz w:val="22"/>
          <w:szCs w:val="22"/>
        </w:rPr>
        <w:t xml:space="preserve">If step 3 is not successful, students may submit a written request to discuss the matter with the Assistant Dean/Dean.</w:t>
      </w:r>
    </w:p>
    <w:p>
      <w:pPr>
        <w:keepNext/>
        <w:spacing w:after="140" w:before="280" w:line="276"/>
      </w:pPr>
      <w:r>
        <w:rPr>
          <w:rFonts w:ascii="Times New Roman" w:cs="Times New Roman" w:eastAsia="Times New Roman" w:hAnsi="Times New Roman"/>
          <w:b/>
          <w:bCs/>
          <w:sz w:val="26"/>
          <w:szCs w:val="26"/>
        </w:rPr>
        <w:t xml:space="preserve">Cancellation of Classes</w:t>
      </w:r>
    </w:p>
    <w:p>
      <w:pPr>
        <w:spacing w:after="120" w:before="0" w:line="276"/>
      </w:pPr>
      <w:r>
        <w:rPr>
          <w:rFonts w:ascii="Times New Roman" w:cs="Times New Roman" w:eastAsia="Times New Roman" w:hAnsi="Times New Roman"/>
          <w:sz w:val="22"/>
          <w:szCs w:val="22"/>
        </w:rPr>
        <w:t xml:space="preserve">In case of extremely bad weather, emergency or serious incident(s), students are encouraged to check the university website, course specific announcements, and/or LIU Safe App. Alternatively, one may call Campus Security at (718) 488-1071 to determine if the entire campus is closed.</w:t>
      </w:r>
    </w:p>
    <w:p>
      <w:pPr>
        <w:keepNext/>
        <w:spacing w:after="140" w:before="280" w:line="276"/>
      </w:pPr>
      <w:r>
        <w:rPr>
          <w:rFonts w:ascii="Times New Roman" w:cs="Times New Roman" w:eastAsia="Times New Roman" w:hAnsi="Times New Roman"/>
          <w:b/>
          <w:bCs/>
          <w:sz w:val="26"/>
          <w:szCs w:val="26"/>
        </w:rPr>
        <w:t xml:space="preserve">Student Affairs</w:t>
      </w:r>
    </w:p>
    <w:p>
      <w:pPr>
        <w:spacing w:after="120" w:before="0" w:line="276"/>
      </w:pPr>
      <w:r>
        <w:rPr>
          <w:rFonts w:ascii="Times New Roman" w:cs="Times New Roman" w:eastAsia="Times New Roman" w:hAnsi="Times New Roman"/>
          <w:sz w:val="22"/>
          <w:szCs w:val="22"/>
        </w:rPr>
        <w:t xml:space="preserve">For any questions regarding online accommodation and academic affairs, contact student affairs at: </w:t>
      </w:r>
      <w:hyperlink w:history="1" r:id="rIdst0kubvoiwzgowvpnh50k">
        <w:r>
          <w:rPr>
            <w:rStyle w:val="Hyperlink"/>
            <w:rFonts w:ascii="Times New Roman" w:cs="Times New Roman" w:eastAsia="Times New Roman" w:hAnsi="Times New Roman"/>
            <w:color w:val="0563C1"/>
            <w:sz w:val="22"/>
            <w:szCs w:val="22"/>
            <w:u w:val="single"/>
          </w:rPr>
          <w:t xml:space="preserve">studentaffairs@liu.edu</w:t>
        </w:r>
      </w:hyperlink>
    </w:p>
    <w:p>
      <w:pPr>
        <w:keepNext/>
        <w:spacing w:after="140" w:before="280" w:line="276"/>
      </w:pPr>
      <w:r>
        <w:rPr>
          <w:rFonts w:ascii="Times New Roman" w:cs="Times New Roman" w:eastAsia="Times New Roman" w:hAnsi="Times New Roman"/>
          <w:b/>
          <w:bCs/>
          <w:sz w:val="26"/>
          <w:szCs w:val="26"/>
        </w:rPr>
        <w:t xml:space="preserve">Technical issues</w:t>
      </w:r>
    </w:p>
    <w:p>
      <w:pPr>
        <w:spacing w:after="120" w:before="0" w:line="276"/>
      </w:pPr>
      <w:r>
        <w:rPr>
          <w:rFonts w:ascii="Times New Roman" w:cs="Times New Roman" w:eastAsia="Times New Roman" w:hAnsi="Times New Roman"/>
          <w:sz w:val="22"/>
          <w:szCs w:val="22"/>
        </w:rPr>
        <w:t xml:space="preserve">For any technical issues related to Brightspace (lms.liu.edu), LIU emails, Google Meet, or campus network access, contact IT as follows:</w:t>
      </w:r>
    </w:p>
    <w:p>
      <w:pPr>
        <w:spacing w:after="40" w:before="0" w:line="276"/>
      </w:pPr>
      <w:r>
        <w:rPr>
          <w:rFonts w:ascii="Times New Roman" w:cs="Times New Roman" w:eastAsia="Times New Roman" w:hAnsi="Times New Roman"/>
          <w:sz w:val="22"/>
          <w:szCs w:val="22"/>
        </w:rPr>
        <w:t xml:space="preserve">Email: </w:t>
      </w:r>
      <w:hyperlink w:history="1" r:id="rIdttwavfvpkv6wadixhujyp">
        <w:r>
          <w:rPr>
            <w:rStyle w:val="Hyperlink"/>
            <w:rFonts w:ascii="Times New Roman" w:cs="Times New Roman" w:eastAsia="Times New Roman" w:hAnsi="Times New Roman"/>
            <w:color w:val="0563C1"/>
            <w:sz w:val="22"/>
            <w:szCs w:val="22"/>
            <w:u w:val="single"/>
          </w:rPr>
          <w:t xml:space="preserve">It@liu.edu</w:t>
        </w:r>
      </w:hyperlink>
    </w:p>
    <w:p>
      <w:pPr>
        <w:spacing w:after="120" w:before="0" w:line="276"/>
      </w:pPr>
      <w:r>
        <w:rPr>
          <w:rFonts w:ascii="Times New Roman" w:cs="Times New Roman" w:eastAsia="Times New Roman" w:hAnsi="Times New Roman"/>
          <w:sz w:val="22"/>
          <w:szCs w:val="22"/>
        </w:rPr>
        <w:t xml:space="preserve">Phone: 718-488-3300 (Monday-Friday 9am to 5pm)</w:t>
      </w:r>
    </w:p>
    <w:p>
      <w:pPr>
        <w:keepNext/>
        <w:spacing w:after="140" w:before="280" w:line="276"/>
      </w:pPr>
      <w:r>
        <w:rPr>
          <w:rFonts w:ascii="Times New Roman" w:cs="Times New Roman" w:eastAsia="Times New Roman" w:hAnsi="Times New Roman"/>
          <w:b/>
          <w:bCs/>
          <w:sz w:val="26"/>
          <w:szCs w:val="26"/>
        </w:rPr>
        <w:t xml:space="preserve">Safety Issues</w:t>
      </w:r>
    </w:p>
    <w:p>
      <w:pPr>
        <w:spacing w:after="120" w:before="0" w:line="276"/>
      </w:pPr>
      <w:r>
        <w:rPr>
          <w:rFonts w:ascii="Times New Roman" w:cs="Times New Roman" w:eastAsia="Times New Roman" w:hAnsi="Times New Roman"/>
          <w:sz w:val="22"/>
          <w:szCs w:val="22"/>
        </w:rPr>
        <w:t xml:space="preserve">For safety issues, check the following link: </w:t>
      </w:r>
      <w:hyperlink w:history="1" r:id="rIdegtsaxf2cyaidc9mtlbgg">
        <w:r>
          <w:rPr>
            <w:rStyle w:val="Hyperlink"/>
            <w:rFonts w:ascii="Times New Roman" w:cs="Times New Roman" w:eastAsia="Times New Roman" w:hAnsi="Times New Roman"/>
            <w:color w:val="0563C1"/>
            <w:sz w:val="22"/>
            <w:szCs w:val="22"/>
            <w:u w:val="single"/>
          </w:rPr>
          <w:t xml:space="preserve">https://www.liu.edu/brooklyn/public-safety</w:t>
        </w:r>
      </w:hyperlink>
    </w:p>
    <w:p>
      <w:pPr>
        <w:spacing w:after="120" w:before="0" w:line="276"/>
      </w:pPr>
      <w:r>
        <w:rPr>
          <w:rFonts w:ascii="Times New Roman" w:cs="Times New Roman" w:eastAsia="Times New Roman" w:hAnsi="Times New Roman"/>
          <w:sz w:val="22"/>
          <w:szCs w:val="22"/>
        </w:rPr>
        <w:t xml:space="preserve">Phone: 718-488-1078</w:t>
      </w:r>
    </w:p>
    <w:p>
      <w:pPr>
        <w:keepNext/>
        <w:spacing w:after="140" w:before="280" w:line="276"/>
      </w:pPr>
      <w:r>
        <w:rPr>
          <w:rFonts w:ascii="Times New Roman" w:cs="Times New Roman" w:eastAsia="Times New Roman" w:hAnsi="Times New Roman"/>
          <w:b/>
          <w:bCs/>
          <w:sz w:val="26"/>
          <w:szCs w:val="26"/>
        </w:rPr>
        <w:t xml:space="preserve">Grading Scale</w:t>
      </w:r>
    </w:p>
    <w:p>
      <w:pPr>
        <w:spacing w:after="120" w:before="0" w:line="276"/>
      </w:pPr>
      <w:r>
        <w:rPr>
          <w:rFonts w:ascii="Times New Roman" w:cs="Times New Roman" w:eastAsia="Times New Roman" w:hAnsi="Times New Roman"/>
          <w:sz w:val="22"/>
          <w:szCs w:val="22"/>
        </w:rPr>
        <w:t xml:space="preserve">Grades are distributed according to the following LIU grading scale.</w:t>
      </w:r>
    </w:p>
    <w:tbl>
      <w:tblPr>
        <w:tblW w:type="dxa" w:w="6500"/>
        <w:jc w:val="center"/>
        <w:tblBorders>
          <w:top w:val="single" w:color="auto" w:sz="4"/>
          <w:left w:val="single" w:color="auto" w:sz="4"/>
          <w:bottom w:val="single" w:color="auto" w:sz="4"/>
          <w:right w:val="single" w:color="auto" w:sz="4"/>
          <w:insideH w:val="single" w:color="auto" w:sz="4"/>
          <w:insideV w:val="single" w:color="auto" w:sz="4"/>
        </w:tblBorders>
      </w:tblPr>
      <w:tblGrid>
        <w:gridCol w:w="1800"/>
        <w:gridCol w:w="1500"/>
        <w:gridCol w:w="1400"/>
        <w:gridCol w:w="1800"/>
      </w:tblGrid>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19"/>
                <w:szCs w:val="19"/>
              </w:rPr>
              <w:t xml:space="preserve">UNDERGRADUATE</w:t>
            </w:r>
          </w:p>
        </w:tc>
        <w:tc>
          <w:tcPr>
            <w:tcW w:type="dxa" w:w="1500"/>
            <w:tcBorders>
              <w:top w:val="none"/>
              <w:left w:val="single" w:color="000000" w:sz="4"/>
              <w:bottom w:val="single" w:color="000000" w:sz="4"/>
              <w:right w:val="none"/>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c>
          <w:tcPr>
            <w:tcW w:type="dxa" w:w="1400"/>
            <w:tcBorders>
              <w:top w:val="none"/>
              <w:left w:val="none"/>
              <w:bottom w:val="single" w:color="000000" w:sz="4"/>
              <w:right w:val="none"/>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c>
          <w:tcPr>
            <w:tcW w:type="dxa" w:w="1800"/>
            <w:tcBorders>
              <w:top w:val="none"/>
              <w:left w:val="none"/>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r>
      <w:tr>
        <w:trPr>
          <w:tblHeader/>
        </w:trPr>
        <w:tc>
          <w:tcPr>
            <w:tcW w:type="dxa" w:w="18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19"/>
                <w:szCs w:val="19"/>
              </w:rPr>
              <w:t xml:space="preserve">Quality</w:t>
            </w:r>
          </w:p>
        </w:tc>
        <w:tc>
          <w:tcPr>
            <w:tcW w:type="dxa" w:w="15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color w:val="FFFFFF"/>
                <w:sz w:val="19"/>
                <w:szCs w:val="19"/>
              </w:rPr>
              <w:t xml:space="preserve">Letter Grade</w:t>
            </w:r>
          </w:p>
        </w:tc>
        <w:tc>
          <w:tcPr>
            <w:tcW w:type="dxa" w:w="14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color w:val="FFFFFF"/>
                <w:sz w:val="19"/>
                <w:szCs w:val="19"/>
              </w:rPr>
              <w:t xml:space="preserve">Range %</w:t>
            </w:r>
          </w:p>
        </w:tc>
        <w:tc>
          <w:tcPr>
            <w:tcW w:type="dxa" w:w="18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color w:val="FFFFFF"/>
                <w:sz w:val="19"/>
                <w:szCs w:val="19"/>
              </w:rPr>
              <w:t xml:space="preserve">GPA/ Quality Pts.</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Outstanding</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A</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93 - 100</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4</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Excellent</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A-</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90 - 92</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3.67</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Very Good</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87 - 89</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3.33</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Average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83 - 86</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3</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Nearly Average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80 - 82</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2.67</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Below Average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C+</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77 - 79</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2.33</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Marginal</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C</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73 - 76</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2</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Poor</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C-</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68 - 72</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1.67</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Unacceptable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D</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60 - 67</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1</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Failing</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F</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&lt; 60</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0</w:t>
            </w:r>
          </w:p>
        </w:tc>
      </w:tr>
    </w:tbl>
    <w:p>
      <w:pPr>
        <w:keepNext/>
        <w:spacing w:after="140" w:before="280" w:line="276"/>
      </w:pPr>
      <w:r>
        <w:rPr>
          <w:rFonts w:ascii="Times New Roman" w:cs="Times New Roman" w:eastAsia="Times New Roman" w:hAnsi="Times New Roman"/>
          <w:b/>
          <w:bCs/>
          <w:sz w:val="26"/>
          <w:szCs w:val="26"/>
        </w:rPr>
        <w:t xml:space="preserve">Grading Rubrics</w:t>
      </w:r>
    </w:p>
    <w:p>
      <w:pPr>
        <w:spacing w:after="120" w:before="0" w:line="276"/>
      </w:pPr>
      <w:r>
        <w:rPr>
          <w:rFonts w:ascii="Times New Roman" w:cs="Times New Roman" w:eastAsia="Times New Roman" w:hAnsi="Times New Roman"/>
          <w:sz w:val="22"/>
          <w:szCs w:val="22"/>
        </w:rPr>
        <w:t xml:space="preserve">The following grading rubrics correspond to the four required projects. Each project rubric is released with its specification and is weighted as follows.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400"/>
        <w:gridCol w:w="3760"/>
      </w:tblGrid>
      <w:tr>
        <w:trPr>
          <w:tblHeader/>
        </w:trPr>
        <w:tc>
          <w:tcPr>
            <w:tcW w:type="dxa" w:w="42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Criterion</w:t>
            </w:r>
          </w:p>
        </w:tc>
        <w:tc>
          <w:tcPr>
            <w:tcW w:type="dxa" w:w="14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Weight</w:t>
            </w:r>
          </w:p>
        </w:tc>
        <w:tc>
          <w:tcPr>
            <w:tcW w:type="dxa" w:w="376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What is assessed</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Correctness and completeness</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35%</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The artifact does what the specification requires, and the required cases are handled.</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Implementation quality</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20%</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Structure, readability, and evidence of testing. Commit history shows sustained individual work.</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Analysis and written report</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25%</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The report explains the design, justifies the decisions, and reports results honestly, including what did not work.</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Demonstration and defense</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20%</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The student can run the artifact live and answer questions about any part of it.</w:t>
            </w:r>
          </w:p>
        </w:tc>
      </w:tr>
      <w:tr>
        <w:tc>
          <w:tcPr>
            <w:tcW w:type="dxa" w:w="42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TOTAL</w:t>
            </w:r>
          </w:p>
        </w:tc>
        <w:tc>
          <w:tcPr>
            <w:tcW w:type="dxa" w:w="14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100%</w:t>
            </w:r>
          </w:p>
        </w:tc>
        <w:tc>
          <w:tcPr>
            <w:tcW w:type="dxa" w:w="376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vvydxciqrfdxrzqdzzazo" Type="http://schemas.openxmlformats.org/officeDocument/2006/relationships/hyperlink" Target="mailto:yair.chaya@liu.edu" TargetMode="External"/><Relationship Id="rIdc0roejjm77jhlvuztd81y" Type="http://schemas.openxmlformats.org/officeDocument/2006/relationships/hyperlink" Target="https://meet.google.com/wqr-ydtt-tnf" TargetMode="External"/><Relationship Id="rId4rrclx4qnrmak8bjiawyd" Type="http://schemas.openxmlformats.org/officeDocument/2006/relationships/hyperlink" Target="https://tel.meet/wqr-ydtt-tnf?pin=3979234942786" TargetMode="External"/><Relationship Id="rIdtffao_3wdhuctdrcxtkpn" Type="http://schemas.openxmlformats.org/officeDocument/2006/relationships/hyperlink" Target="https://lms.liu.edu" TargetMode="External"/><Relationship Id="rIdw5yy_ix0xgagpi4dpbzf0" Type="http://schemas.openxmlformats.org/officeDocument/2006/relationships/hyperlink" Target="https://www.liu.edu/brooklyn/Enrollment-Services/Registration/Academic-Calendar" TargetMode="External"/><Relationship Id="rIdxtyfveu2510mejanslrh0" Type="http://schemas.openxmlformats.org/officeDocument/2006/relationships/hyperlink" Target="http://liu.brooklyn.libguides.com/avoid-detect-plagiarism" TargetMode="External"/><Relationship Id="rIdetsupkmpjtn7g8o1q7ibu" Type="http://schemas.openxmlformats.org/officeDocument/2006/relationships/hyperlink" Target="http://www.liu.edu/Brooklyn/Enrollment-Services/Registration/Academic-Bulletins" TargetMode="External"/><Relationship Id="rIdfkbjalqhmxgxcozyrc6am" Type="http://schemas.openxmlformats.org/officeDocument/2006/relationships/hyperlink" Target="https://www.liu.edu/Human-Resources/Human-Resources-Policies/Anti-Harassment-Discrimination-Policy" TargetMode="External"/><Relationship Id="rIdfowyyx72rlbsr81lcnbbr" Type="http://schemas.openxmlformats.org/officeDocument/2006/relationships/hyperlink" Target="https://www.liu.edu/brooklyn/Enrollment-Services" TargetMode="External"/><Relationship Id="rId4g-zwmqhbscbozfvk5chj" Type="http://schemas.openxmlformats.org/officeDocument/2006/relationships/hyperlink" Target="https://www.liu.edu/brooklyn/Academics/Writing-Center" TargetMode="External"/><Relationship Id="rIdjypkr5xdygwprnbgma0uu" Type="http://schemas.openxmlformats.org/officeDocument/2006/relationships/hyperlink" Target="https://www.liu.edu/brooklyn/Academics" TargetMode="External"/><Relationship Id="rIdpbsmrfqc5fnrpkh_ukwx-" Type="http://schemas.openxmlformats.org/officeDocument/2006/relationships/hyperlink" Target="mailto:studentsupportservices@brooklyn.liu.edu" TargetMode="External"/><Relationship Id="rIdst0kubvoiwzgowvpnh50k" Type="http://schemas.openxmlformats.org/officeDocument/2006/relationships/hyperlink" Target="mailto:studentaffairs@liu.edu" TargetMode="External"/><Relationship Id="rIdttwavfvpkv6wadixhujyp" Type="http://schemas.openxmlformats.org/officeDocument/2006/relationships/hyperlink" Target="mailto:It@liu.edu" TargetMode="External"/><Relationship Id="rIdegtsaxf2cyaidc9mtlbgg" Type="http://schemas.openxmlformats.org/officeDocument/2006/relationships/hyperlink" Target="https://www.liu.edu/brooklyn/public-safety" TargetMode="External"/><Relationship Id="rId8" Type="http://schemas.openxmlformats.org/officeDocument/2006/relationships/image" Target="media/140f75d0dcb3b8d1888f4707c93525eba18910fa.png"/><Relationship Id="rId2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255 Cloud Computing Concepts — Syllabus, Fall 2026</dc:title>
  <dc:creator>Professor Yair Chaya</dc:creator>
  <dc:description>Course syllabus for AI 255 Cloud Computing Concepts, Long Island University Brooklyn, Fall 2026</dc:description>
  <cp:lastModifiedBy>Un-named</cp:lastModifiedBy>
  <cp:revision>1</cp:revision>
  <dcterms:created xsi:type="dcterms:W3CDTF">2026-09-02T02:50:00.857Z</dcterms:created>
  <dcterms:modified xsi:type="dcterms:W3CDTF">2026-09-02T02:50:00.857Z</dcterms:modified>
</cp:coreProperties>
</file>

<file path=docProps/custom.xml><?xml version="1.0" encoding="utf-8"?>
<Properties xmlns="http://schemas.openxmlformats.org/officeDocument/2006/custom-properties" xmlns:vt="http://schemas.openxmlformats.org/officeDocument/2006/docPropsVTypes"/>
</file>