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320" w:line="240" w:lineRule="auto"/>
        <w:jc w:val="center"/>
      </w:pPr>
      <w:r>
        <w:drawing>
          <wp:inline distT="0" distB="0" distL="0" distR="0">
            <wp:extent cx="3048000" cy="409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3048000" cy="409575"/>
                    </a:xfrm>
                    <a:prstGeom prst="rect">
                      <a:avLst/>
                    </a:prstGeom>
                  </pic:spPr>
                </pic:pic>
              </a:graphicData>
            </a:graphic>
          </wp:inline>
        </w:drawing>
      </w:r>
    </w:p>
    <w:p>
      <w:pPr>
        <w:spacing w:after="160"/>
        <w:jc w:val="center"/>
      </w:pPr>
      <w:r>
        <w:rPr>
          <w:rFonts w:ascii="Times New Roman" w:cs="Times New Roman" w:eastAsia="Times New Roman" w:hAnsi="Times New Roman"/>
          <w:b/>
          <w:bCs/>
          <w:sz w:val="34"/>
          <w:szCs w:val="34"/>
        </w:rPr>
        <w:t xml:space="preserve">AI 232</w:t>
      </w:r>
    </w:p>
    <w:p>
      <w:pPr>
        <w:spacing w:after="100"/>
        <w:jc w:val="center"/>
      </w:pPr>
      <w:r>
        <w:rPr>
          <w:rFonts w:ascii="Times New Roman" w:cs="Times New Roman" w:eastAsia="Times New Roman" w:hAnsi="Times New Roman"/>
          <w:b/>
          <w:bCs/>
          <w:sz w:val="32"/>
          <w:szCs w:val="32"/>
        </w:rPr>
        <w:t xml:space="preserve">Theory of Computation</w:t>
      </w:r>
    </w:p>
    <w:p>
      <w:pPr>
        <w:spacing w:after="240"/>
        <w:jc w:val="center"/>
      </w:pPr>
      <w:r>
        <w:rPr>
          <w:rFonts w:ascii="Times New Roman" w:cs="Times New Roman" w:eastAsia="Times New Roman" w:hAnsi="Times New Roman"/>
          <w:sz w:val="22"/>
          <w:szCs w:val="22"/>
        </w:rPr>
        <w:t xml:space="preserve">Section 001 — Class # 2021 — Llab</w:t>
      </w:r>
    </w:p>
    <w:p>
      <w:pPr>
        <w:keepNext/>
        <w:spacing w:after="140" w:before="280" w:line="276"/>
      </w:pPr>
      <w:r>
        <w:rPr>
          <w:rFonts w:ascii="Times New Roman" w:cs="Times New Roman" w:eastAsia="Times New Roman" w:hAnsi="Times New Roman"/>
          <w:b/>
          <w:bCs/>
          <w:sz w:val="26"/>
          <w:szCs w:val="26"/>
        </w:rPr>
        <w:t xml:space="preserve">Faculty Info + Office Hours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none"/>
              <w:left w:val="none"/>
              <w:bottom w:val="none"/>
              <w:right w:val="none"/>
            </w:tcBorders>
            <w:tcMar>
              <w:top w:type="dxa" w:w="60"/>
              <w:left w:type="dxa" w:w="100"/>
              <w:bottom w:type="dxa" w:w="60"/>
              <w:right w:type="dxa" w:w="100"/>
            </w:tcMar>
            <w:vAlign w:val="top"/>
          </w:tcPr>
          <w:p>
            <w:pPr>
              <w:spacing w:after="60" w:before="0" w:line="276"/>
            </w:pPr>
            <w:r>
              <w:rPr>
                <w:rFonts w:ascii="Times New Roman" w:cs="Times New Roman" w:eastAsia="Times New Roman" w:hAnsi="Times New Roman"/>
                <w:b/>
                <w:bCs/>
                <w:sz w:val="22"/>
                <w:szCs w:val="22"/>
              </w:rPr>
              <w:t xml:space="preserve">Name: </w:t>
            </w:r>
            <w:r>
              <w:rPr>
                <w:rFonts w:ascii="Times New Roman" w:cs="Times New Roman" w:eastAsia="Times New Roman" w:hAnsi="Times New Roman"/>
                <w:sz w:val="22"/>
                <w:szCs w:val="22"/>
              </w:rPr>
              <w:t xml:space="preserve">Professor Yair Chaya</w:t>
            </w:r>
          </w:p>
          <w:p>
            <w:pPr>
              <w:spacing w:after="60" w:before="0" w:line="276"/>
            </w:pPr>
            <w:r>
              <w:rPr>
                <w:rFonts w:ascii="Times New Roman" w:cs="Times New Roman" w:eastAsia="Times New Roman" w:hAnsi="Times New Roman"/>
                <w:b/>
                <w:bCs/>
                <w:sz w:val="22"/>
                <w:szCs w:val="22"/>
              </w:rPr>
              <w:t xml:space="preserve">Email: </w:t>
            </w:r>
            <w:hyperlink w:history="1" r:id="rId60tjz6eu0x0r48coin681">
              <w:r>
                <w:rPr>
                  <w:rStyle w:val="Hyperlink"/>
                  <w:rFonts w:ascii="Times New Roman" w:cs="Times New Roman" w:eastAsia="Times New Roman" w:hAnsi="Times New Roman"/>
                  <w:color w:val="0563C1"/>
                  <w:sz w:val="22"/>
                  <w:szCs w:val="22"/>
                  <w:u w:val="single"/>
                </w:rPr>
                <w:t xml:space="preserve">yair.chaya@liu.edu</w:t>
              </w:r>
            </w:hyperlink>
          </w:p>
          <w:p>
            <w:pPr>
              <w:spacing w:after="0" w:before="0" w:line="276"/>
            </w:pPr>
            <w:r>
              <w:rPr>
                <w:rFonts w:ascii="Times New Roman" w:cs="Times New Roman" w:eastAsia="Times New Roman" w:hAnsi="Times New Roman"/>
                <w:b/>
                <w:bCs/>
                <w:sz w:val="22"/>
                <w:szCs w:val="22"/>
              </w:rPr>
              <w:t xml:space="preserve">Phone: </w:t>
            </w:r>
            <w:r>
              <w:rPr>
                <w:rFonts w:ascii="Times New Roman" w:cs="Times New Roman" w:eastAsia="Times New Roman" w:hAnsi="Times New Roman"/>
                <w:sz w:val="22"/>
                <w:szCs w:val="22"/>
              </w:rPr>
              <w:t xml:space="preserve">718-864-1753</w:t>
            </w:r>
          </w:p>
        </w:tc>
        <w:tc>
          <w:tcPr>
            <w:tcW w:type="dxa" w:w="4680"/>
            <w:tcBorders>
              <w:top w:val="none"/>
              <w:left w:val="none"/>
              <w:bottom w:val="none"/>
              <w:right w:val="none"/>
            </w:tcBorders>
            <w:tcMar>
              <w:top w:type="dxa" w:w="60"/>
              <w:left w:type="dxa" w:w="100"/>
              <w:bottom w:type="dxa" w:w="60"/>
              <w:right w:type="dxa" w:w="100"/>
            </w:tcMar>
            <w:vAlign w:val="top"/>
          </w:tcPr>
          <w:p>
            <w:pPr>
              <w:spacing w:after="60" w:before="0" w:line="276"/>
            </w:pPr>
            <w:r>
              <w:rPr>
                <w:rFonts w:ascii="Times New Roman" w:cs="Times New Roman" w:eastAsia="Times New Roman" w:hAnsi="Times New Roman"/>
                <w:b/>
                <w:bCs/>
                <w:sz w:val="22"/>
                <w:szCs w:val="22"/>
              </w:rPr>
              <w:t xml:space="preserve">Office Hours: </w:t>
            </w:r>
            <w:r>
              <w:rPr>
                <w:rFonts w:ascii="Times New Roman" w:cs="Times New Roman" w:eastAsia="Times New Roman" w:hAnsi="Times New Roman"/>
                <w:sz w:val="22"/>
                <w:szCs w:val="22"/>
              </w:rPr>
              <w:t xml:space="preserve">Virtual, by appointment. Email to schedule.</w:t>
            </w:r>
          </w:p>
          <w:p>
            <w:pPr>
              <w:spacing w:after="0" w:before="0" w:line="276"/>
            </w:pPr>
            <w:r>
              <w:rPr>
                <w:rFonts w:ascii="Times New Roman" w:cs="Times New Roman" w:eastAsia="Times New Roman" w:hAnsi="Times New Roman"/>
                <w:sz w:val="22"/>
                <w:szCs w:val="22"/>
              </w:rPr>
              <w:t xml:space="preserve">Preferred Method of Communication: Best reached by email. Expect a reply within 24 hours.</w:t>
            </w:r>
          </w:p>
        </w:tc>
      </w:tr>
    </w:tbl>
    <w:p>
      <w:pPr>
        <w:keepNext/>
        <w:spacing w:after="140" w:before="280" w:line="276"/>
      </w:pPr>
      <w:r>
        <w:rPr>
          <w:rFonts w:ascii="Times New Roman" w:cs="Times New Roman" w:eastAsia="Times New Roman" w:hAnsi="Times New Roman"/>
          <w:b/>
          <w:bCs/>
          <w:sz w:val="26"/>
          <w:szCs w:val="26"/>
        </w:rPr>
        <w:t xml:space="preserve">Prerequisite + Credits</w:t>
      </w:r>
    </w:p>
    <w:p>
      <w:pPr>
        <w:spacing w:after="40" w:before="0" w:line="276"/>
      </w:pPr>
      <w:r>
        <w:rPr>
          <w:rFonts w:ascii="Times New Roman" w:cs="Times New Roman" w:eastAsia="Times New Roman" w:hAnsi="Times New Roman"/>
          <w:sz w:val="22"/>
          <w:szCs w:val="22"/>
        </w:rPr>
        <w:t xml:space="preserve">Three credits.</w:t>
      </w:r>
    </w:p>
    <w:p>
      <w:pPr>
        <w:spacing w:after="40" w:before="0" w:line="276"/>
      </w:pPr>
      <w:r>
        <w:rPr>
          <w:rFonts w:ascii="Times New Roman" w:cs="Times New Roman" w:eastAsia="Times New Roman" w:hAnsi="Times New Roman"/>
          <w:sz w:val="22"/>
          <w:szCs w:val="22"/>
        </w:rPr>
        <w:t xml:space="preserve">Course-hours distribution: (3, 2, 2)</w:t>
      </w:r>
    </w:p>
    <w:p>
      <w:pPr>
        <w:spacing w:after="120" w:before="0" w:line="276"/>
      </w:pPr>
      <w:r>
        <w:rPr>
          <w:rFonts w:ascii="Times New Roman" w:cs="Times New Roman" w:eastAsia="Times New Roman" w:hAnsi="Times New Roman"/>
          <w:sz w:val="22"/>
          <w:szCs w:val="22"/>
        </w:rPr>
        <w:t xml:space="preserve">Prerequisites: College-level discrete mathematics and programming proficiency in a language of the student’s choice, or permission of the instructor. See the current course bulletin for the official prerequisite listing.</w:t>
      </w:r>
    </w:p>
    <w:p>
      <w:pPr>
        <w:keepNext/>
        <w:spacing w:after="140" w:before="280" w:line="276"/>
      </w:pPr>
      <w:r>
        <w:rPr>
          <w:rFonts w:ascii="Times New Roman" w:cs="Times New Roman" w:eastAsia="Times New Roman" w:hAnsi="Times New Roman"/>
          <w:b/>
          <w:bCs/>
          <w:sz w:val="26"/>
          <w:szCs w:val="26"/>
        </w:rPr>
        <w:t xml:space="preserve">Dates + Time + Location + Format</w:t>
      </w:r>
    </w:p>
    <w:p>
      <w:pPr>
        <w:spacing w:after="40" w:before="0" w:line="276"/>
      </w:pPr>
      <w:r>
        <w:rPr>
          <w:rFonts w:ascii="Times New Roman" w:cs="Times New Roman" w:eastAsia="Times New Roman" w:hAnsi="Times New Roman"/>
          <w:b/>
          <w:bCs/>
          <w:sz w:val="22"/>
          <w:szCs w:val="22"/>
        </w:rPr>
        <w:t xml:space="preserve">Term: </w:t>
      </w:r>
      <w:r>
        <w:rPr>
          <w:rFonts w:ascii="Times New Roman" w:cs="Times New Roman" w:eastAsia="Times New Roman" w:hAnsi="Times New Roman"/>
          <w:sz w:val="22"/>
          <w:szCs w:val="22"/>
        </w:rPr>
        <w:t xml:space="preserve">09/02/2026 – 12/21/2026 (Fall 2026)</w:t>
      </w:r>
    </w:p>
    <w:p>
      <w:pPr>
        <w:spacing w:after="40" w:before="0" w:line="276"/>
      </w:pPr>
      <w:r>
        <w:rPr>
          <w:rFonts w:ascii="Times New Roman" w:cs="Times New Roman" w:eastAsia="Times New Roman" w:hAnsi="Times New Roman"/>
          <w:b/>
          <w:bCs/>
          <w:sz w:val="22"/>
          <w:szCs w:val="22"/>
        </w:rPr>
        <w:t xml:space="preserve">Meetings: </w:t>
      </w:r>
      <w:r>
        <w:rPr>
          <w:rFonts w:ascii="Times New Roman" w:cs="Times New Roman" w:eastAsia="Times New Roman" w:hAnsi="Times New Roman"/>
          <w:sz w:val="22"/>
          <w:szCs w:val="22"/>
        </w:rPr>
        <w:t xml:space="preserve">Tuesday &amp; Thursday, 6:00 PM – 7:50 PM</w:t>
      </w:r>
    </w:p>
    <w:p>
      <w:pPr>
        <w:spacing w:after="40" w:before="0" w:line="276"/>
      </w:pPr>
      <w:r>
        <w:rPr>
          <w:rFonts w:ascii="Times New Roman" w:cs="Times New Roman" w:eastAsia="Times New Roman" w:hAnsi="Times New Roman"/>
          <w:b/>
          <w:bCs/>
          <w:sz w:val="22"/>
          <w:szCs w:val="22"/>
        </w:rPr>
        <w:t xml:space="preserve">Room of record: </w:t>
      </w:r>
      <w:r>
        <w:rPr>
          <w:rFonts w:ascii="Times New Roman" w:cs="Times New Roman" w:eastAsia="Times New Roman" w:hAnsi="Times New Roman"/>
          <w:sz w:val="22"/>
          <w:szCs w:val="22"/>
        </w:rPr>
        <w:t xml:space="preserve">Library Learning 4FL B (course is delivered online; room is reserved and used only if an in-person session is announced)</w:t>
      </w:r>
    </w:p>
    <w:p>
      <w:pPr>
        <w:spacing w:after="120" w:before="0" w:line="276"/>
      </w:pPr>
      <w:r>
        <w:rPr>
          <w:rFonts w:ascii="Times New Roman" w:cs="Times New Roman" w:eastAsia="Times New Roman" w:hAnsi="Times New Roman"/>
          <w:b/>
          <w:bCs/>
          <w:sz w:val="22"/>
          <w:szCs w:val="22"/>
        </w:rPr>
        <w:t xml:space="preserve">Format: </w:t>
      </w:r>
      <w:r>
        <w:rPr>
          <w:rFonts w:ascii="Times New Roman" w:cs="Times New Roman" w:eastAsia="Times New Roman" w:hAnsi="Times New Roman"/>
          <w:sz w:val="22"/>
          <w:szCs w:val="22"/>
        </w:rPr>
        <w:t xml:space="preserve">Online instruction. All class sessions are synchronous and held live over Google Meet at the scheduled meeting times. Attendance at the live sessions is expected; sessions are working sessions in which project work is developed, demonstrated, and critiqued.</w:t>
      </w:r>
    </w:p>
    <w:p>
      <w:pPr>
        <w:spacing w:after="40" w:before="0" w:line="276"/>
      </w:pPr>
      <w:r>
        <w:rPr>
          <w:rFonts w:ascii="Times New Roman" w:cs="Times New Roman" w:eastAsia="Times New Roman" w:hAnsi="Times New Roman"/>
          <w:b/>
          <w:bCs/>
          <w:sz w:val="22"/>
          <w:szCs w:val="22"/>
        </w:rPr>
        <w:t xml:space="preserve">Google Meet link: </w:t>
      </w:r>
      <w:hyperlink w:history="1" r:id="rIdd8-wvrbq5l96spsmgkjq-">
        <w:r>
          <w:rPr>
            <w:rStyle w:val="Hyperlink"/>
            <w:rFonts w:ascii="Times New Roman" w:cs="Times New Roman" w:eastAsia="Times New Roman" w:hAnsi="Times New Roman"/>
            <w:color w:val="0563C1"/>
            <w:sz w:val="22"/>
            <w:szCs w:val="22"/>
            <w:u w:val="single"/>
          </w:rPr>
          <w:t xml:space="preserve">https://meet.google.com/ktf-tiqi-ojb</w:t>
        </w:r>
      </w:hyperlink>
    </w:p>
    <w:p>
      <w:pPr>
        <w:spacing w:after="40" w:before="0" w:line="276"/>
      </w:pPr>
      <w:r>
        <w:rPr>
          <w:rFonts w:ascii="Times New Roman" w:cs="Times New Roman" w:eastAsia="Times New Roman" w:hAnsi="Times New Roman"/>
          <w:b/>
          <w:bCs/>
          <w:sz w:val="22"/>
          <w:szCs w:val="22"/>
        </w:rPr>
        <w:t xml:space="preserve">Or dial in (US): </w:t>
      </w:r>
      <w:r>
        <w:rPr>
          <w:rFonts w:ascii="Times New Roman" w:cs="Times New Roman" w:eastAsia="Times New Roman" w:hAnsi="Times New Roman"/>
          <w:sz w:val="22"/>
          <w:szCs w:val="22"/>
        </w:rPr>
        <w:t xml:space="preserve">+1 585-969-5075  —  PIN: 894 153 012#</w:t>
      </w:r>
    </w:p>
    <w:p>
      <w:pPr>
        <w:spacing w:after="120" w:before="0" w:line="276"/>
      </w:pPr>
      <w:r>
        <w:rPr>
          <w:rFonts w:ascii="Times New Roman" w:cs="Times New Roman" w:eastAsia="Times New Roman" w:hAnsi="Times New Roman"/>
          <w:b/>
          <w:bCs/>
          <w:sz w:val="22"/>
          <w:szCs w:val="22"/>
        </w:rPr>
        <w:t xml:space="preserve">More phone numbers: </w:t>
      </w:r>
      <w:hyperlink w:history="1" r:id="rIdjtysdnma-xptzoltzmpo7">
        <w:r>
          <w:rPr>
            <w:rStyle w:val="Hyperlink"/>
            <w:rFonts w:ascii="Times New Roman" w:cs="Times New Roman" w:eastAsia="Times New Roman" w:hAnsi="Times New Roman"/>
            <w:color w:val="0563C1"/>
            <w:sz w:val="22"/>
            <w:szCs w:val="22"/>
            <w:u w:val="single"/>
          </w:rPr>
          <w:t xml:space="preserve">https://tel.meet/ktf-tiqi-ojb?pin=9390802006236</w:t>
        </w:r>
      </w:hyperlink>
    </w:p>
    <w:p>
      <w:pPr>
        <w:spacing w:after="40" w:before="0" w:line="276"/>
      </w:pPr>
      <w:r>
        <w:rPr>
          <w:rFonts w:ascii="Times New Roman" w:cs="Times New Roman" w:eastAsia="Times New Roman" w:hAnsi="Times New Roman"/>
          <w:b/>
          <w:bCs/>
          <w:sz w:val="22"/>
          <w:szCs w:val="22"/>
        </w:rPr>
        <w:t xml:space="preserve">Course repository (notes and materials): </w:t>
      </w:r>
      <w:r>
        <w:rPr>
          <w:rFonts w:ascii="Times New Roman" w:cs="Times New Roman" w:eastAsia="Times New Roman" w:hAnsi="Times New Roman"/>
          <w:color w:val="808080"/>
          <w:sz w:val="22"/>
          <w:szCs w:val="22"/>
        </w:rPr>
        <w:t xml:space="preserve">_______________________________________________</w:t>
      </w:r>
    </w:p>
    <w:p>
      <w:pPr>
        <w:spacing w:after="120" w:before="0" w:line="276"/>
      </w:pPr>
      <w:r>
        <w:rPr>
          <w:rFonts w:ascii="Times New Roman" w:cs="Times New Roman" w:eastAsia="Times New Roman" w:hAnsi="Times New Roman"/>
          <w:b/>
          <w:bCs/>
          <w:sz w:val="22"/>
          <w:szCs w:val="22"/>
        </w:rPr>
        <w:t xml:space="preserve">Course LMS (Brightspace): </w:t>
      </w:r>
      <w:hyperlink w:history="1" r:id="rIdw-xmdt0u3bqepu-tf8ztg">
        <w:r>
          <w:rPr>
            <w:rStyle w:val="Hyperlink"/>
            <w:rFonts w:ascii="Times New Roman" w:cs="Times New Roman" w:eastAsia="Times New Roman" w:hAnsi="Times New Roman"/>
            <w:color w:val="0563C1"/>
            <w:sz w:val="22"/>
            <w:szCs w:val="22"/>
            <w:u w:val="single"/>
          </w:rPr>
          <w:t xml:space="preserve">https://lms.liu.edu</w:t>
        </w:r>
      </w:hyperlink>
      <w:r>
        <w:rPr>
          <w:rFonts w:ascii="Times New Roman" w:cs="Times New Roman" w:eastAsia="Times New Roman" w:hAnsi="Times New Roman"/>
          <w:sz w:val="22"/>
          <w:szCs w:val="22"/>
        </w:rPr>
        <w:t xml:space="preserve"> — used for announcements, assignment submission, and grades.</w:t>
      </w:r>
    </w:p>
    <w:p>
      <w:pPr>
        <w:keepNext/>
        <w:spacing w:after="140" w:before="280" w:line="276"/>
      </w:pPr>
      <w:r>
        <w:rPr>
          <w:rFonts w:ascii="Times New Roman" w:cs="Times New Roman" w:eastAsia="Times New Roman" w:hAnsi="Times New Roman"/>
          <w:b/>
          <w:bCs/>
          <w:sz w:val="26"/>
          <w:szCs w:val="26"/>
        </w:rPr>
        <w:t xml:space="preserve">Required Course Materials/Textbook</w:t>
      </w:r>
    </w:p>
    <w:p>
      <w:pPr>
        <w:pStyle w:val="ListParagraph"/>
        <w:numPr>
          <w:ilvl w:val="0"/>
          <w:numId w:val="1"/>
        </w:numPr>
        <w:spacing w:after="80" w:line="276"/>
      </w:pPr>
      <w:r>
        <w:rPr>
          <w:rFonts w:ascii="Times New Roman" w:cs="Times New Roman" w:eastAsia="Times New Roman" w:hAnsi="Times New Roman"/>
          <w:sz w:val="22"/>
          <w:szCs w:val="22"/>
        </w:rPr>
        <w:t xml:space="preserve">There is no required textbook and no textbook purchase is necessary for this course.</w:t>
      </w:r>
    </w:p>
    <w:p>
      <w:pPr>
        <w:pStyle w:val="ListParagraph"/>
        <w:numPr>
          <w:ilvl w:val="0"/>
          <w:numId w:val="1"/>
        </w:numPr>
        <w:spacing w:after="80" w:line="276"/>
      </w:pPr>
      <w:r>
        <w:rPr>
          <w:rFonts w:ascii="Times New Roman" w:cs="Times New Roman" w:eastAsia="Times New Roman" w:hAnsi="Times New Roman"/>
          <w:sz w:val="22"/>
          <w:szCs w:val="22"/>
        </w:rPr>
        <w:t xml:space="preserve">All lecture notes, worked examples, code, and project specifications are written by the instructor and distributed through the course GitHub repository (with a Google Doc mirror where useful). Materials are posted before the session in which they are used and remain available for the full term.</w:t>
      </w:r>
    </w:p>
    <w:p>
      <w:pPr>
        <w:keepNext/>
        <w:spacing w:after="100" w:before="200" w:line="276"/>
      </w:pPr>
      <w:r>
        <w:rPr>
          <w:rFonts w:ascii="Times New Roman" w:cs="Times New Roman" w:eastAsia="Times New Roman" w:hAnsi="Times New Roman"/>
          <w:b/>
          <w:bCs/>
          <w:sz w:val="23"/>
          <w:szCs w:val="23"/>
        </w:rPr>
        <w:t xml:space="preserve">Recommended Additional Course Materials/References</w:t>
      </w:r>
    </w:p>
    <w:p>
      <w:pPr>
        <w:pStyle w:val="ListParagraph"/>
        <w:numPr>
          <w:ilvl w:val="0"/>
          <w:numId w:val="1"/>
        </w:numPr>
        <w:spacing w:after="80" w:line="276"/>
      </w:pPr>
      <w:r>
        <w:rPr>
          <w:rFonts w:ascii="Times New Roman" w:cs="Times New Roman" w:eastAsia="Times New Roman" w:hAnsi="Times New Roman"/>
          <w:sz w:val="22"/>
          <w:szCs w:val="22"/>
        </w:rPr>
        <w:t xml:space="preserve">Optional supplementary readings — all freely available online — are linked from the course repository, week by week. None are required.</w:t>
      </w:r>
    </w:p>
    <w:p>
      <w:pPr>
        <w:keepNext/>
        <w:spacing w:after="100" w:before="200" w:line="276"/>
      </w:pPr>
      <w:r>
        <w:rPr>
          <w:rFonts w:ascii="Times New Roman" w:cs="Times New Roman" w:eastAsia="Times New Roman" w:hAnsi="Times New Roman"/>
          <w:b/>
          <w:bCs/>
          <w:sz w:val="23"/>
          <w:szCs w:val="23"/>
        </w:rPr>
        <w:t xml:space="preserve">Software, Tools, Development Environments</w:t>
      </w:r>
    </w:p>
    <w:p>
      <w:pPr>
        <w:pStyle w:val="ListParagraph"/>
        <w:numPr>
          <w:ilvl w:val="0"/>
          <w:numId w:val="1"/>
        </w:numPr>
        <w:spacing w:after="80" w:line="276"/>
      </w:pPr>
      <w:r>
        <w:rPr>
          <w:rFonts w:ascii="Times New Roman" w:cs="Times New Roman" w:eastAsia="Times New Roman" w:hAnsi="Times New Roman"/>
          <w:sz w:val="22"/>
          <w:szCs w:val="22"/>
        </w:rPr>
        <w:t xml:space="preserve">Python 3.11 or later (primary language for all projects; another language may be used with prior approval)</w:t>
      </w:r>
    </w:p>
    <w:p>
      <w:pPr>
        <w:pStyle w:val="ListParagraph"/>
        <w:numPr>
          <w:ilvl w:val="0"/>
          <w:numId w:val="1"/>
        </w:numPr>
        <w:spacing w:after="80" w:line="276"/>
      </w:pPr>
      <w:r>
        <w:rPr>
          <w:rFonts w:ascii="Times New Roman" w:cs="Times New Roman" w:eastAsia="Times New Roman" w:hAnsi="Times New Roman"/>
          <w:sz w:val="22"/>
          <w:szCs w:val="22"/>
        </w:rPr>
        <w:t xml:space="preserve">Git and a personal GitHub account</w:t>
      </w:r>
    </w:p>
    <w:p>
      <w:pPr>
        <w:pStyle w:val="ListParagraph"/>
        <w:numPr>
          <w:ilvl w:val="0"/>
          <w:numId w:val="1"/>
        </w:numPr>
        <w:spacing w:after="80" w:line="276"/>
      </w:pPr>
      <w:r>
        <w:rPr>
          <w:rFonts w:ascii="Times New Roman" w:cs="Times New Roman" w:eastAsia="Times New Roman" w:hAnsi="Times New Roman"/>
          <w:sz w:val="22"/>
          <w:szCs w:val="22"/>
        </w:rPr>
        <w:t xml:space="preserve">A code editor of the student’s choice (VS Code recommended)</w:t>
      </w:r>
    </w:p>
    <w:p>
      <w:pPr>
        <w:pStyle w:val="ListParagraph"/>
        <w:numPr>
          <w:ilvl w:val="0"/>
          <w:numId w:val="1"/>
        </w:numPr>
        <w:spacing w:after="80" w:line="276"/>
      </w:pPr>
      <w:r>
        <w:rPr>
          <w:rFonts w:ascii="Times New Roman" w:cs="Times New Roman" w:eastAsia="Times New Roman" w:hAnsi="Times New Roman"/>
          <w:sz w:val="22"/>
          <w:szCs w:val="22"/>
        </w:rPr>
        <w:t xml:space="preserve">JFLAP or an equivalent automaton visualizer (optional, for exploration)</w:t>
      </w:r>
    </w:p>
    <w:p>
      <w:pPr>
        <w:pStyle w:val="ListParagraph"/>
        <w:numPr>
          <w:ilvl w:val="0"/>
          <w:numId w:val="1"/>
        </w:numPr>
        <w:spacing w:after="80" w:line="276"/>
      </w:pPr>
      <w:r>
        <w:rPr>
          <w:rFonts w:ascii="Times New Roman" w:cs="Times New Roman" w:eastAsia="Times New Roman" w:hAnsi="Times New Roman"/>
          <w:sz w:val="22"/>
          <w:szCs w:val="22"/>
        </w:rPr>
        <w:t xml:space="preserve">Google Meet, for all synchronous class sessions</w:t>
      </w:r>
    </w:p>
    <w:p>
      <w:pPr>
        <w:spacing w:after="120" w:before="80" w:line="276"/>
      </w:pPr>
      <w:r>
        <w:rPr>
          <w:rFonts w:ascii="Times New Roman" w:cs="Times New Roman" w:eastAsia="Times New Roman" w:hAnsi="Times New Roman"/>
          <w:sz w:val="22"/>
          <w:szCs w:val="22"/>
        </w:rPr>
        <w:t xml:space="preserve">All required software is free or available at no cost to students. Setup instructions are posted in the course repository and Week 1 includes a guided setup session.</w:t>
      </w:r>
    </w:p>
    <w:p>
      <w:pPr>
        <w:keepNext/>
        <w:spacing w:after="140" w:before="280" w:line="276"/>
      </w:pPr>
      <w:r>
        <w:rPr>
          <w:rFonts w:ascii="Times New Roman" w:cs="Times New Roman" w:eastAsia="Times New Roman" w:hAnsi="Times New Roman"/>
          <w:b/>
          <w:bCs/>
          <w:sz w:val="26"/>
          <w:szCs w:val="26"/>
        </w:rPr>
        <w:t xml:space="preserve">Course Description</w:t>
      </w:r>
    </w:p>
    <w:p>
      <w:pPr>
        <w:spacing w:after="120" w:before="0" w:line="276"/>
      </w:pPr>
      <w:r>
        <w:rPr>
          <w:rFonts w:ascii="Times New Roman" w:cs="Times New Roman" w:eastAsia="Times New Roman" w:hAnsi="Times New Roman"/>
          <w:sz w:val="22"/>
          <w:szCs w:val="22"/>
        </w:rPr>
        <w:t xml:space="preserve">This course examines what can be computed, what cannot, and what can be computed efficiently. Students study finite automata, context-free grammars, pushdown automata, and Turing machines as progressively more powerful models of computation, and then confront the limits of computation itself through decidability and complexity. The course is taught constructively: rather than treating these models as abstractions on a page, students implement them as working simulators and use them to answer concrete questions about real languages and real programs.</w:t>
      </w:r>
    </w:p>
    <w:p>
      <w:pPr>
        <w:keepNext/>
        <w:spacing w:after="140" w:before="280" w:line="276"/>
      </w:pPr>
      <w:r>
        <w:rPr>
          <w:rFonts w:ascii="Times New Roman" w:cs="Times New Roman" w:eastAsia="Times New Roman" w:hAnsi="Times New Roman"/>
          <w:b/>
          <w:bCs/>
          <w:sz w:val="26"/>
          <w:szCs w:val="26"/>
        </w:rPr>
        <w:t xml:space="preserve">Course Objectives</w:t>
      </w:r>
    </w:p>
    <w:p>
      <w:pPr>
        <w:spacing w:after="100"/>
      </w:pPr>
      <w:r>
        <w:rPr>
          <w:rFonts w:ascii="Times New Roman" w:cs="Times New Roman" w:eastAsia="Times New Roman" w:hAnsi="Times New Roman"/>
          <w:sz w:val="22"/>
          <w:szCs w:val="22"/>
          <w:u w:val="single"/>
        </w:rPr>
        <w:t xml:space="preserve">Topics include:</w:t>
      </w:r>
    </w:p>
    <w:p>
      <w:pPr>
        <w:pStyle w:val="ListParagraph"/>
        <w:numPr>
          <w:ilvl w:val="0"/>
          <w:numId w:val="1"/>
        </w:numPr>
        <w:spacing w:after="80" w:line="276"/>
      </w:pPr>
      <w:r>
        <w:rPr>
          <w:rFonts w:ascii="Times New Roman" w:cs="Times New Roman" w:eastAsia="Times New Roman" w:hAnsi="Times New Roman"/>
          <w:sz w:val="22"/>
          <w:szCs w:val="22"/>
        </w:rPr>
        <w:t xml:space="preserve">Mathematical preliminaries</w:t>
      </w:r>
    </w:p>
    <w:p>
      <w:pPr>
        <w:spacing w:after="60" w:line="276"/>
        <w:ind w:left="1512"/>
      </w:pPr>
      <w:r>
        <w:rPr>
          <w:rFonts w:ascii="Times New Roman" w:cs="Times New Roman" w:eastAsia="Times New Roman" w:hAnsi="Times New Roman"/>
          <w:sz w:val="22"/>
          <w:szCs w:val="22"/>
        </w:rPr>
        <w:t xml:space="preserve">a. Sets, relations, functions, and graphs</w:t>
      </w:r>
    </w:p>
    <w:p>
      <w:pPr>
        <w:spacing w:after="60" w:line="276"/>
        <w:ind w:left="1512"/>
      </w:pPr>
      <w:r>
        <w:rPr>
          <w:rFonts w:ascii="Times New Roman" w:cs="Times New Roman" w:eastAsia="Times New Roman" w:hAnsi="Times New Roman"/>
          <w:sz w:val="22"/>
          <w:szCs w:val="22"/>
        </w:rPr>
        <w:t xml:space="preserve">b. Proof techniques: induction, contradiction, construction</w:t>
      </w:r>
    </w:p>
    <w:p>
      <w:pPr>
        <w:spacing w:after="60" w:line="276"/>
        <w:ind w:left="1512"/>
      </w:pPr>
      <w:r>
        <w:rPr>
          <w:rFonts w:ascii="Times New Roman" w:cs="Times New Roman" w:eastAsia="Times New Roman" w:hAnsi="Times New Roman"/>
          <w:sz w:val="22"/>
          <w:szCs w:val="22"/>
        </w:rPr>
        <w:t xml:space="preserve">c. Alphabets, strings, and formal languages</w:t>
      </w:r>
    </w:p>
    <w:p>
      <w:pPr>
        <w:pStyle w:val="ListParagraph"/>
        <w:numPr>
          <w:ilvl w:val="0"/>
          <w:numId w:val="1"/>
        </w:numPr>
        <w:spacing w:after="80" w:line="276"/>
      </w:pPr>
      <w:r>
        <w:rPr>
          <w:rFonts w:ascii="Times New Roman" w:cs="Times New Roman" w:eastAsia="Times New Roman" w:hAnsi="Times New Roman"/>
          <w:sz w:val="22"/>
          <w:szCs w:val="22"/>
        </w:rPr>
        <w:t xml:space="preserve">Regular languages</w:t>
      </w:r>
    </w:p>
    <w:p>
      <w:pPr>
        <w:spacing w:after="60" w:line="276"/>
        <w:ind w:left="1512"/>
      </w:pPr>
      <w:r>
        <w:rPr>
          <w:rFonts w:ascii="Times New Roman" w:cs="Times New Roman" w:eastAsia="Times New Roman" w:hAnsi="Times New Roman"/>
          <w:sz w:val="22"/>
          <w:szCs w:val="22"/>
        </w:rPr>
        <w:t xml:space="preserve">a. Deterministic finite automata</w:t>
      </w:r>
    </w:p>
    <w:p>
      <w:pPr>
        <w:spacing w:after="60" w:line="276"/>
        <w:ind w:left="1512"/>
      </w:pPr>
      <w:r>
        <w:rPr>
          <w:rFonts w:ascii="Times New Roman" w:cs="Times New Roman" w:eastAsia="Times New Roman" w:hAnsi="Times New Roman"/>
          <w:sz w:val="22"/>
          <w:szCs w:val="22"/>
        </w:rPr>
        <w:t xml:space="preserve">b. Nondeterministic finite automata and the subset construction</w:t>
      </w:r>
    </w:p>
    <w:p>
      <w:pPr>
        <w:spacing w:after="60" w:line="276"/>
        <w:ind w:left="1512"/>
      </w:pPr>
      <w:r>
        <w:rPr>
          <w:rFonts w:ascii="Times New Roman" w:cs="Times New Roman" w:eastAsia="Times New Roman" w:hAnsi="Times New Roman"/>
          <w:sz w:val="22"/>
          <w:szCs w:val="22"/>
        </w:rPr>
        <w:t xml:space="preserve">c. Regular expressions and their equivalence to automata</w:t>
      </w:r>
    </w:p>
    <w:p>
      <w:pPr>
        <w:spacing w:after="60" w:line="276"/>
        <w:ind w:left="1512"/>
      </w:pPr>
      <w:r>
        <w:rPr>
          <w:rFonts w:ascii="Times New Roman" w:cs="Times New Roman" w:eastAsia="Times New Roman" w:hAnsi="Times New Roman"/>
          <w:sz w:val="22"/>
          <w:szCs w:val="22"/>
        </w:rPr>
        <w:t xml:space="preserve">d. Closure properties and the pumping lemma</w:t>
      </w:r>
    </w:p>
    <w:p>
      <w:pPr>
        <w:spacing w:after="60" w:line="276"/>
        <w:ind w:left="1512"/>
      </w:pPr>
      <w:r>
        <w:rPr>
          <w:rFonts w:ascii="Times New Roman" w:cs="Times New Roman" w:eastAsia="Times New Roman" w:hAnsi="Times New Roman"/>
          <w:sz w:val="22"/>
          <w:szCs w:val="22"/>
        </w:rPr>
        <w:t xml:space="preserve">e. The Myhill–Nerode theorem and state minimization</w:t>
      </w:r>
    </w:p>
    <w:p>
      <w:pPr>
        <w:pStyle w:val="ListParagraph"/>
        <w:numPr>
          <w:ilvl w:val="0"/>
          <w:numId w:val="1"/>
        </w:numPr>
        <w:spacing w:after="80" w:line="276"/>
      </w:pPr>
      <w:r>
        <w:rPr>
          <w:rFonts w:ascii="Times New Roman" w:cs="Times New Roman" w:eastAsia="Times New Roman" w:hAnsi="Times New Roman"/>
          <w:sz w:val="22"/>
          <w:szCs w:val="22"/>
        </w:rPr>
        <w:t xml:space="preserve">Context-free languages</w:t>
      </w:r>
    </w:p>
    <w:p>
      <w:pPr>
        <w:spacing w:after="60" w:line="276"/>
        <w:ind w:left="1512"/>
      </w:pPr>
      <w:r>
        <w:rPr>
          <w:rFonts w:ascii="Times New Roman" w:cs="Times New Roman" w:eastAsia="Times New Roman" w:hAnsi="Times New Roman"/>
          <w:sz w:val="22"/>
          <w:szCs w:val="22"/>
        </w:rPr>
        <w:t xml:space="preserve">a. Context-free grammars, derivations, and parse trees</w:t>
      </w:r>
    </w:p>
    <w:p>
      <w:pPr>
        <w:spacing w:after="60" w:line="276"/>
        <w:ind w:left="1512"/>
      </w:pPr>
      <w:r>
        <w:rPr>
          <w:rFonts w:ascii="Times New Roman" w:cs="Times New Roman" w:eastAsia="Times New Roman" w:hAnsi="Times New Roman"/>
          <w:sz w:val="22"/>
          <w:szCs w:val="22"/>
        </w:rPr>
        <w:t xml:space="preserve">b. Ambiguity and normal forms</w:t>
      </w:r>
    </w:p>
    <w:p>
      <w:pPr>
        <w:spacing w:after="60" w:line="276"/>
        <w:ind w:left="1512"/>
      </w:pPr>
      <w:r>
        <w:rPr>
          <w:rFonts w:ascii="Times New Roman" w:cs="Times New Roman" w:eastAsia="Times New Roman" w:hAnsi="Times New Roman"/>
          <w:sz w:val="22"/>
          <w:szCs w:val="22"/>
        </w:rPr>
        <w:t xml:space="preserve">c. Pushdown automata and their equivalence to grammars</w:t>
      </w:r>
    </w:p>
    <w:p>
      <w:pPr>
        <w:spacing w:after="60" w:line="276"/>
        <w:ind w:left="1512"/>
      </w:pPr>
      <w:r>
        <w:rPr>
          <w:rFonts w:ascii="Times New Roman" w:cs="Times New Roman" w:eastAsia="Times New Roman" w:hAnsi="Times New Roman"/>
          <w:sz w:val="22"/>
          <w:szCs w:val="22"/>
        </w:rPr>
        <w:t xml:space="preserve">d. The pumping lemma for context-free languages</w:t>
      </w:r>
    </w:p>
    <w:p>
      <w:pPr>
        <w:spacing w:after="60" w:line="276"/>
        <w:ind w:left="1512"/>
      </w:pPr>
      <w:r>
        <w:rPr>
          <w:rFonts w:ascii="Times New Roman" w:cs="Times New Roman" w:eastAsia="Times New Roman" w:hAnsi="Times New Roman"/>
          <w:sz w:val="22"/>
          <w:szCs w:val="22"/>
        </w:rPr>
        <w:t xml:space="preserve">e. Parsing in practice</w:t>
      </w:r>
    </w:p>
    <w:p>
      <w:pPr>
        <w:pStyle w:val="ListParagraph"/>
        <w:numPr>
          <w:ilvl w:val="0"/>
          <w:numId w:val="1"/>
        </w:numPr>
        <w:spacing w:after="80" w:line="276"/>
      </w:pPr>
      <w:r>
        <w:rPr>
          <w:rFonts w:ascii="Times New Roman" w:cs="Times New Roman" w:eastAsia="Times New Roman" w:hAnsi="Times New Roman"/>
          <w:sz w:val="22"/>
          <w:szCs w:val="22"/>
        </w:rPr>
        <w:t xml:space="preserve">Turing machines and computability</w:t>
      </w:r>
    </w:p>
    <w:p>
      <w:pPr>
        <w:spacing w:after="60" w:line="276"/>
        <w:ind w:left="1512"/>
      </w:pPr>
      <w:r>
        <w:rPr>
          <w:rFonts w:ascii="Times New Roman" w:cs="Times New Roman" w:eastAsia="Times New Roman" w:hAnsi="Times New Roman"/>
          <w:sz w:val="22"/>
          <w:szCs w:val="22"/>
        </w:rPr>
        <w:t xml:space="preserve">a. The Turing machine model and its variants</w:t>
      </w:r>
    </w:p>
    <w:p>
      <w:pPr>
        <w:spacing w:after="60" w:line="276"/>
        <w:ind w:left="1512"/>
      </w:pPr>
      <w:r>
        <w:rPr>
          <w:rFonts w:ascii="Times New Roman" w:cs="Times New Roman" w:eastAsia="Times New Roman" w:hAnsi="Times New Roman"/>
          <w:sz w:val="22"/>
          <w:szCs w:val="22"/>
        </w:rPr>
        <w:t xml:space="preserve">b. The Church–Turing thesis</w:t>
      </w:r>
    </w:p>
    <w:p>
      <w:pPr>
        <w:spacing w:after="60" w:line="276"/>
        <w:ind w:left="1512"/>
      </w:pPr>
      <w:r>
        <w:rPr>
          <w:rFonts w:ascii="Times New Roman" w:cs="Times New Roman" w:eastAsia="Times New Roman" w:hAnsi="Times New Roman"/>
          <w:sz w:val="22"/>
          <w:szCs w:val="22"/>
        </w:rPr>
        <w:t xml:space="preserve">c. Decidable and recognizable languages</w:t>
      </w:r>
    </w:p>
    <w:p>
      <w:pPr>
        <w:spacing w:after="60" w:line="276"/>
        <w:ind w:left="1512"/>
      </w:pPr>
      <w:r>
        <w:rPr>
          <w:rFonts w:ascii="Times New Roman" w:cs="Times New Roman" w:eastAsia="Times New Roman" w:hAnsi="Times New Roman"/>
          <w:sz w:val="22"/>
          <w:szCs w:val="22"/>
        </w:rPr>
        <w:t xml:space="preserve">d. The halting problem and undecidability</w:t>
      </w:r>
    </w:p>
    <w:p>
      <w:pPr>
        <w:spacing w:after="60" w:line="276"/>
        <w:ind w:left="1512"/>
      </w:pPr>
      <w:r>
        <w:rPr>
          <w:rFonts w:ascii="Times New Roman" w:cs="Times New Roman" w:eastAsia="Times New Roman" w:hAnsi="Times New Roman"/>
          <w:sz w:val="22"/>
          <w:szCs w:val="22"/>
        </w:rPr>
        <w:t xml:space="preserve">e. Mapping reductions and Rice’s theorem</w:t>
      </w:r>
    </w:p>
    <w:p>
      <w:pPr>
        <w:pStyle w:val="ListParagraph"/>
        <w:numPr>
          <w:ilvl w:val="0"/>
          <w:numId w:val="1"/>
        </w:numPr>
        <w:spacing w:after="80" w:line="276"/>
      </w:pPr>
      <w:r>
        <w:rPr>
          <w:rFonts w:ascii="Times New Roman" w:cs="Times New Roman" w:eastAsia="Times New Roman" w:hAnsi="Times New Roman"/>
          <w:sz w:val="22"/>
          <w:szCs w:val="22"/>
        </w:rPr>
        <w:t xml:space="preserve">Complexity theory</w:t>
      </w:r>
    </w:p>
    <w:p>
      <w:pPr>
        <w:spacing w:after="60" w:line="276"/>
        <w:ind w:left="1512"/>
      </w:pPr>
      <w:r>
        <w:rPr>
          <w:rFonts w:ascii="Times New Roman" w:cs="Times New Roman" w:eastAsia="Times New Roman" w:hAnsi="Times New Roman"/>
          <w:sz w:val="22"/>
          <w:szCs w:val="22"/>
        </w:rPr>
        <w:t xml:space="preserve">a. Time complexity and the class P</w:t>
      </w:r>
    </w:p>
    <w:p>
      <w:pPr>
        <w:spacing w:after="60" w:line="276"/>
        <w:ind w:left="1512"/>
      </w:pPr>
      <w:r>
        <w:rPr>
          <w:rFonts w:ascii="Times New Roman" w:cs="Times New Roman" w:eastAsia="Times New Roman" w:hAnsi="Times New Roman"/>
          <w:sz w:val="22"/>
          <w:szCs w:val="22"/>
        </w:rPr>
        <w:t xml:space="preserve">b. Nondeterminism and the class NP</w:t>
      </w:r>
    </w:p>
    <w:p>
      <w:pPr>
        <w:spacing w:after="60" w:line="276"/>
        <w:ind w:left="1512"/>
      </w:pPr>
      <w:r>
        <w:rPr>
          <w:rFonts w:ascii="Times New Roman" w:cs="Times New Roman" w:eastAsia="Times New Roman" w:hAnsi="Times New Roman"/>
          <w:sz w:val="22"/>
          <w:szCs w:val="22"/>
        </w:rPr>
        <w:t xml:space="preserve">c. NP-completeness and the Cook–Levin theorem</w:t>
      </w:r>
    </w:p>
    <w:p>
      <w:pPr>
        <w:spacing w:after="60" w:line="276"/>
        <w:ind w:left="1512"/>
      </w:pPr>
      <w:r>
        <w:rPr>
          <w:rFonts w:ascii="Times New Roman" w:cs="Times New Roman" w:eastAsia="Times New Roman" w:hAnsi="Times New Roman"/>
          <w:sz w:val="22"/>
          <w:szCs w:val="22"/>
        </w:rPr>
        <w:t xml:space="preserve">d. Polynomial-time reductions</w:t>
      </w:r>
    </w:p>
    <w:p>
      <w:pPr>
        <w:spacing w:after="60" w:line="276"/>
        <w:ind w:left="1512"/>
      </w:pPr>
      <w:r>
        <w:rPr>
          <w:rFonts w:ascii="Times New Roman" w:cs="Times New Roman" w:eastAsia="Times New Roman" w:hAnsi="Times New Roman"/>
          <w:sz w:val="22"/>
          <w:szCs w:val="22"/>
        </w:rPr>
        <w:t xml:space="preserve">e. Space complexity and PSPACE</w:t>
      </w:r>
    </w:p>
    <w:p>
      <w:pPr>
        <w:keepNext/>
        <w:spacing w:after="140" w:before="280" w:line="276"/>
      </w:pPr>
      <w:r>
        <w:rPr>
          <w:rFonts w:ascii="Times New Roman" w:cs="Times New Roman" w:eastAsia="Times New Roman" w:hAnsi="Times New Roman"/>
          <w:b/>
          <w:bCs/>
          <w:sz w:val="26"/>
          <w:szCs w:val="26"/>
        </w:rPr>
        <w:t xml:space="preserve">Course Learning Outcomes (Student Outcomes)</w:t>
      </w:r>
    </w:p>
    <w:p>
      <w:pPr>
        <w:spacing w:after="120" w:before="0" w:line="276"/>
      </w:pPr>
      <w:r>
        <w:rPr>
          <w:rFonts w:ascii="Times New Roman" w:cs="Times New Roman" w:eastAsia="Times New Roman" w:hAnsi="Times New Roman"/>
          <w:sz w:val="22"/>
          <w:szCs w:val="22"/>
        </w:rPr>
        <w:t xml:space="preserve">Upon completion of this course, students will be able to:</w:t>
      </w:r>
    </w:p>
    <w:p>
      <w:pPr>
        <w:pStyle w:val="ListParagraph"/>
        <w:numPr>
          <w:ilvl w:val="0"/>
          <w:numId w:val="1"/>
        </w:numPr>
        <w:spacing w:after="80" w:line="276"/>
      </w:pPr>
      <w:r>
        <w:rPr>
          <w:rFonts w:ascii="Times New Roman" w:cs="Times New Roman" w:eastAsia="Times New Roman" w:hAnsi="Times New Roman"/>
          <w:sz w:val="22"/>
          <w:szCs w:val="22"/>
        </w:rPr>
        <w:t xml:space="preserve">Construct finite automata, regular expressions, and context-free grammars for a specified language, and prove that the construction is correct.</w:t>
      </w:r>
    </w:p>
    <w:p>
      <w:pPr>
        <w:pStyle w:val="ListParagraph"/>
        <w:numPr>
          <w:ilvl w:val="0"/>
          <w:numId w:val="1"/>
        </w:numPr>
        <w:spacing w:after="80" w:line="276"/>
      </w:pPr>
      <w:r>
        <w:rPr>
          <w:rFonts w:ascii="Times New Roman" w:cs="Times New Roman" w:eastAsia="Times New Roman" w:hAnsi="Times New Roman"/>
          <w:sz w:val="22"/>
          <w:szCs w:val="22"/>
        </w:rPr>
        <w:t xml:space="preserve">Prove that a given language is not regular or not context-free using the appropriate pumping lemma or the Myhill–Nerode theorem.</w:t>
      </w:r>
    </w:p>
    <w:p>
      <w:pPr>
        <w:pStyle w:val="ListParagraph"/>
        <w:numPr>
          <w:ilvl w:val="0"/>
          <w:numId w:val="1"/>
        </w:numPr>
        <w:spacing w:after="80" w:line="276"/>
      </w:pPr>
      <w:r>
        <w:rPr>
          <w:rFonts w:ascii="Times New Roman" w:cs="Times New Roman" w:eastAsia="Times New Roman" w:hAnsi="Times New Roman"/>
          <w:sz w:val="22"/>
          <w:szCs w:val="22"/>
        </w:rPr>
        <w:t xml:space="preserve">Implement working simulators for finite automata, pushdown automata, and Turing machines, and use them to test language membership.</w:t>
      </w:r>
    </w:p>
    <w:p>
      <w:pPr>
        <w:pStyle w:val="ListParagraph"/>
        <w:numPr>
          <w:ilvl w:val="0"/>
          <w:numId w:val="1"/>
        </w:numPr>
        <w:spacing w:after="80" w:line="276"/>
      </w:pPr>
      <w:r>
        <w:rPr>
          <w:rFonts w:ascii="Times New Roman" w:cs="Times New Roman" w:eastAsia="Times New Roman" w:hAnsi="Times New Roman"/>
          <w:sz w:val="22"/>
          <w:szCs w:val="22"/>
        </w:rPr>
        <w:t xml:space="preserve">Explain the Church–Turing thesis and demonstrate the undecidability of the halting problem.</w:t>
      </w:r>
    </w:p>
    <w:p>
      <w:pPr>
        <w:pStyle w:val="ListParagraph"/>
        <w:numPr>
          <w:ilvl w:val="0"/>
          <w:numId w:val="1"/>
        </w:numPr>
        <w:spacing w:after="80" w:line="276"/>
      </w:pPr>
      <w:r>
        <w:rPr>
          <w:rFonts w:ascii="Times New Roman" w:cs="Times New Roman" w:eastAsia="Times New Roman" w:hAnsi="Times New Roman"/>
          <w:sz w:val="22"/>
          <w:szCs w:val="22"/>
        </w:rPr>
        <w:t xml:space="preserve">Construct polynomial-time reductions between problems and use them to argue NP-completeness.</w:t>
      </w:r>
    </w:p>
    <w:p>
      <w:pPr>
        <w:pStyle w:val="ListParagraph"/>
        <w:numPr>
          <w:ilvl w:val="0"/>
          <w:numId w:val="1"/>
        </w:numPr>
        <w:spacing w:after="80" w:line="276"/>
      </w:pPr>
      <w:r>
        <w:rPr>
          <w:rFonts w:ascii="Times New Roman" w:cs="Times New Roman" w:eastAsia="Times New Roman" w:hAnsi="Times New Roman"/>
          <w:sz w:val="22"/>
          <w:szCs w:val="22"/>
        </w:rPr>
        <w:t xml:space="preserve">Communicate a formal argument clearly in writing and defend a computational-theory result in a technical presentation.</w:t>
      </w:r>
    </w:p>
    <w:p>
      <w:pPr>
        <w:keepNext/>
        <w:spacing w:after="140" w:before="280" w:line="276"/>
      </w:pPr>
      <w:r>
        <w:rPr>
          <w:rFonts w:ascii="Times New Roman" w:cs="Times New Roman" w:eastAsia="Times New Roman" w:hAnsi="Times New Roman"/>
          <w:b/>
          <w:bCs/>
          <w:sz w:val="26"/>
          <w:szCs w:val="26"/>
        </w:rPr>
        <w:t xml:space="preserve">Outcome Assessment Strategies</w:t>
      </w:r>
    </w:p>
    <w:p>
      <w:pPr>
        <w:spacing w:after="120" w:before="0" w:line="276"/>
      </w:pPr>
      <w:r>
        <w:rPr>
          <w:rFonts w:ascii="Times New Roman" w:cs="Times New Roman" w:eastAsia="Times New Roman" w:hAnsi="Times New Roman"/>
          <w:sz w:val="22"/>
          <w:szCs w:val="22"/>
        </w:rPr>
        <w:t xml:space="preserve">All course outcomes are assessed through the four graded projects. Each project pairs a working implementation with a formal written component, and carries a published rubric that maps its criteria to the course learning outcomes above.</w:t>
      </w:r>
    </w:p>
    <w:p>
      <w:pPr>
        <w:keepNext/>
        <w:spacing w:after="140" w:before="280" w:line="276"/>
      </w:pPr>
      <w:r>
        <w:rPr>
          <w:rFonts w:ascii="Times New Roman" w:cs="Times New Roman" w:eastAsia="Times New Roman" w:hAnsi="Times New Roman"/>
          <w:b/>
          <w:bCs/>
          <w:sz w:val="26"/>
          <w:szCs w:val="26"/>
        </w:rPr>
        <w:t xml:space="preserve">Course Format</w:t>
      </w:r>
    </w:p>
    <w:p>
      <w:pPr>
        <w:spacing w:after="120" w:before="0" w:line="276"/>
      </w:pPr>
      <w:r>
        <w:rPr>
          <w:rFonts w:ascii="Times New Roman" w:cs="Times New Roman" w:eastAsia="Times New Roman" w:hAnsi="Times New Roman"/>
          <w:sz w:val="22"/>
          <w:szCs w:val="22"/>
        </w:rPr>
        <w:t xml:space="preserve">This is a three-credit course with an integrated two-hour laboratory component, delivered online. Each week consists of two live 110-minute sessions in which concepts are developed and student work is demonstrated and critiqued.</w:t>
      </w:r>
    </w:p>
    <w:p>
      <w:pPr>
        <w:spacing w:after="120" w:before="0" w:line="276"/>
      </w:pPr>
      <w:r>
        <w:rPr>
          <w:rFonts w:ascii="Times New Roman" w:cs="Times New Roman" w:eastAsia="Times New Roman" w:hAnsi="Times New Roman"/>
          <w:sz w:val="22"/>
          <w:szCs w:val="22"/>
        </w:rPr>
        <w:t xml:space="preserve">The laboratory component is carried out within these sessions: students build, demonstrate, and critique working artifacts during the meeting rather than only afterward, and continue project work between sessions.</w:t>
      </w:r>
    </w:p>
    <w:p>
      <w:pPr>
        <w:spacing w:after="120" w:before="0" w:line="276"/>
      </w:pPr>
      <w:r>
        <w:rPr>
          <w:rFonts w:ascii="Times New Roman" w:cs="Times New Roman" w:eastAsia="Times New Roman" w:hAnsi="Times New Roman"/>
          <w:sz w:val="22"/>
          <w:szCs w:val="22"/>
        </w:rPr>
        <w:t xml:space="preserve">This section is taught as a small-group tutorial and sessions are run accordingly: every student is expected to present current work and take part in critique at each meeting. Details of the individual sessions are given in the weekly schedule below.</w:t>
      </w:r>
    </w:p>
    <w:p>
      <w:pPr>
        <w:keepNext/>
        <w:spacing w:after="140" w:before="280" w:line="276"/>
      </w:pPr>
      <w:r>
        <w:rPr>
          <w:rFonts w:ascii="Times New Roman" w:cs="Times New Roman" w:eastAsia="Times New Roman" w:hAnsi="Times New Roman"/>
          <w:b/>
          <w:bCs/>
          <w:sz w:val="26"/>
          <w:szCs w:val="26"/>
        </w:rPr>
        <w:t xml:space="preserve">Assignments + Grading</w:t>
      </w:r>
    </w:p>
    <w:p>
      <w:pPr>
        <w:spacing w:after="120" w:before="0" w:line="276"/>
      </w:pPr>
      <w:r>
        <w:rPr>
          <w:rFonts w:ascii="Times New Roman" w:cs="Times New Roman" w:eastAsia="Times New Roman" w:hAnsi="Times New Roman"/>
          <w:sz w:val="22"/>
          <w:szCs w:val="22"/>
        </w:rPr>
        <w:t xml:space="preserve">This course is graded entirely on project work. There are no examinations. Each project is a self-contained, hands-on build with a written component; detailed specifications and rubrics are released in class and posted to the course repository at least two weeks before the due date.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500"/>
        <w:gridCol w:w="1860"/>
      </w:tblGrid>
      <w:tr>
        <w:trPr>
          <w:tblHeader/>
        </w:trPr>
        <w:tc>
          <w:tcPr>
            <w:tcW w:type="dxa" w:w="7500"/>
            <w:tcBorders>
              <w:top w:val="single" w:color="000000" w:sz="4"/>
              <w:left w:val="single" w:color="000000" w:sz="4"/>
              <w:bottom w:val="single" w:color="000000" w:sz="4"/>
              <w:right w:val="single" w:color="000000" w:sz="4"/>
            </w:tcBorders>
            <w:shd w:fill="233C5B" w:color="auto" w:val="clear"/>
            <w:tcMar>
              <w:top w:type="dxa" w:w="60"/>
              <w:left w:type="dxa" w:w="100"/>
              <w:bottom w:type="dxa" w:w="60"/>
              <w:right w:type="dxa" w:w="100"/>
            </w:tcMar>
            <w:vAlign w:val="top"/>
          </w:tcPr>
          <w:p>
            <w:pPr>
              <w:spacing w:after="0" w:before="0" w:line="276"/>
            </w:pPr>
            <w:r>
              <w:rPr>
                <w:rFonts w:ascii="Times New Roman" w:cs="Times New Roman" w:eastAsia="Times New Roman" w:hAnsi="Times New Roman"/>
                <w:b/>
                <w:bCs/>
                <w:color w:val="FFFFFF"/>
                <w:sz w:val="20"/>
                <w:szCs w:val="20"/>
              </w:rPr>
              <w:t xml:space="preserve">Description (see Appendix for grading rubrics)</w:t>
            </w:r>
          </w:p>
        </w:tc>
        <w:tc>
          <w:tcPr>
            <w:tcW w:type="dxa" w:w="1860"/>
            <w:tcBorders>
              <w:top w:val="single" w:color="000000" w:sz="4"/>
              <w:left w:val="single" w:color="000000" w:sz="4"/>
              <w:bottom w:val="single" w:color="000000" w:sz="4"/>
              <w:right w:val="single" w:color="000000" w:sz="4"/>
            </w:tcBorders>
            <w:shd w:fill="233C5B" w:color="auto" w:val="clear"/>
            <w:tcMar>
              <w:top w:type="dxa" w:w="60"/>
              <w:left w:type="dxa" w:w="100"/>
              <w:bottom w:type="dxa" w:w="60"/>
              <w:right w:type="dxa" w:w="100"/>
            </w:tcMar>
            <w:vAlign w:val="top"/>
          </w:tcPr>
          <w:p>
            <w:pPr>
              <w:spacing w:after="0" w:before="0" w:line="276"/>
            </w:pPr>
            <w:r>
              <w:rPr>
                <w:rFonts w:ascii="Times New Roman" w:cs="Times New Roman" w:eastAsia="Times New Roman" w:hAnsi="Times New Roman"/>
                <w:b/>
                <w:bCs/>
                <w:color w:val="FFFFFF"/>
                <w:sz w:val="20"/>
                <w:szCs w:val="20"/>
              </w:rPr>
              <w:t xml:space="preserve">Weight %</w:t>
            </w:r>
          </w:p>
        </w:tc>
      </w:tr>
      <w:tr>
        <w:trPr>
          <w:cantSplit/>
        </w:trPr>
        <w:tc>
          <w:tcPr>
            <w:tcW w:type="dxa" w:w="75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b/>
                <w:bCs/>
                <w:sz w:val="22"/>
                <w:szCs w:val="22"/>
              </w:rPr>
              <w:t xml:space="preserve">Project 1 — Automata Simulator — </w:t>
            </w:r>
            <w:r>
              <w:rPr>
                <w:rFonts w:ascii="Times New Roman" w:cs="Times New Roman" w:eastAsia="Times New Roman" w:hAnsi="Times New Roman"/>
                <w:sz w:val="22"/>
                <w:szCs w:val="22"/>
              </w:rPr>
              <w:t xml:space="preserve">Build a simulator that accepts DFA and NFA definitions, decides string membership, converts NFA to DFA by subset construction, and compiles regular expressions into automata. Deliverables include a test suite and a written argument for the correctness of the conversion.</w:t>
            </w:r>
          </w:p>
        </w:tc>
        <w:tc>
          <w:tcPr>
            <w:tcW w:type="dxa" w:w="186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b/>
                <w:bCs/>
                <w:sz w:val="22"/>
                <w:szCs w:val="22"/>
              </w:rPr>
              <w:t xml:space="preserve">25%</w:t>
            </w:r>
          </w:p>
        </w:tc>
      </w:tr>
      <w:tr>
        <w:trPr>
          <w:cantSplit/>
        </w:trPr>
        <w:tc>
          <w:tcPr>
            <w:tcW w:type="dxa" w:w="75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b/>
                <w:bCs/>
                <w:sz w:val="22"/>
                <w:szCs w:val="22"/>
              </w:rPr>
              <w:t xml:space="preserve">Project 2 — Grammars and Parsing — </w:t>
            </w:r>
            <w:r>
              <w:rPr>
                <w:rFonts w:ascii="Times New Roman" w:cs="Times New Roman" w:eastAsia="Times New Roman" w:hAnsi="Times New Roman"/>
                <w:sz w:val="22"/>
                <w:szCs w:val="22"/>
              </w:rPr>
              <w:t xml:space="preserve">Design a context-free grammar for a small domain-specific language and implement a parser and a pushdown-automaton simulator for it. The written component must address ambiguity and demonstrate, with a pumping-lemma argument, a language the grammar cannot capture.</w:t>
            </w:r>
          </w:p>
        </w:tc>
        <w:tc>
          <w:tcPr>
            <w:tcW w:type="dxa" w:w="186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b/>
                <w:bCs/>
                <w:sz w:val="22"/>
                <w:szCs w:val="22"/>
              </w:rPr>
              <w:t xml:space="preserve">25%</w:t>
            </w:r>
          </w:p>
        </w:tc>
      </w:tr>
      <w:tr>
        <w:trPr>
          <w:cantSplit/>
        </w:trPr>
        <w:tc>
          <w:tcPr>
            <w:tcW w:type="dxa" w:w="75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b/>
                <w:bCs/>
                <w:sz w:val="22"/>
                <w:szCs w:val="22"/>
              </w:rPr>
              <w:t xml:space="preserve">Project 3 — Turing Machine Workbench — </w:t>
            </w:r>
            <w:r>
              <w:rPr>
                <w:rFonts w:ascii="Times New Roman" w:cs="Times New Roman" w:eastAsia="Times New Roman" w:hAnsi="Times New Roman"/>
                <w:sz w:val="22"/>
                <w:szCs w:val="22"/>
              </w:rPr>
              <w:t xml:space="preserve">Implement a Turing machine simulator supporting multiple tape variants, encode several decidable and recognizable languages on it, and produce a written demonstration of why the halting problem cannot be solved by any such machine.</w:t>
            </w:r>
          </w:p>
        </w:tc>
        <w:tc>
          <w:tcPr>
            <w:tcW w:type="dxa" w:w="186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b/>
                <w:bCs/>
                <w:sz w:val="22"/>
                <w:szCs w:val="22"/>
              </w:rPr>
              <w:t xml:space="preserve">25%</w:t>
            </w:r>
          </w:p>
        </w:tc>
      </w:tr>
      <w:tr>
        <w:trPr>
          <w:cantSplit/>
        </w:trPr>
        <w:tc>
          <w:tcPr>
            <w:tcW w:type="dxa" w:w="75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b/>
                <w:bCs/>
                <w:sz w:val="22"/>
                <w:szCs w:val="22"/>
              </w:rPr>
              <w:t xml:space="preserve">Project 4 — Capstone: Reductions and Complexity — </w:t>
            </w:r>
            <w:r>
              <w:rPr>
                <w:rFonts w:ascii="Times New Roman" w:cs="Times New Roman" w:eastAsia="Times New Roman" w:hAnsi="Times New Roman"/>
                <w:sz w:val="22"/>
                <w:szCs w:val="22"/>
              </w:rPr>
              <w:t xml:space="preserve">Build a reduction toolkit that transforms instances of one NP-complete problem into another (for example, 3-SAT to Clique to Vertex Cover), verify the transformations empirically with a solver, and present the complexity argument in a technical report and a live presentation.</w:t>
            </w:r>
          </w:p>
        </w:tc>
        <w:tc>
          <w:tcPr>
            <w:tcW w:type="dxa" w:w="186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b/>
                <w:bCs/>
                <w:sz w:val="22"/>
                <w:szCs w:val="22"/>
              </w:rPr>
              <w:t xml:space="preserve">25%</w:t>
            </w:r>
          </w:p>
        </w:tc>
      </w:tr>
      <w:tr>
        <w:tc>
          <w:tcPr>
            <w:tcW w:type="dxa" w:w="7500"/>
            <w:tcBorders>
              <w:top w:val="single" w:color="000000" w:sz="4"/>
              <w:left w:val="single" w:color="000000" w:sz="4"/>
              <w:bottom w:val="single" w:color="000000" w:sz="4"/>
              <w:right w:val="single" w:color="000000" w:sz="4"/>
            </w:tcBorders>
            <w:shd w:fill="EDEDED" w:color="auto" w:val="clear"/>
            <w:tcMar>
              <w:top w:type="dxa" w:w="60"/>
              <w:left w:type="dxa" w:w="100"/>
              <w:bottom w:type="dxa" w:w="60"/>
              <w:right w:type="dxa" w:w="100"/>
            </w:tcMar>
            <w:vAlign w:val="top"/>
          </w:tcPr>
          <w:p>
            <w:pPr>
              <w:spacing w:after="0" w:before="0" w:line="276"/>
            </w:pPr>
            <w:r>
              <w:rPr>
                <w:rFonts w:ascii="Times New Roman" w:cs="Times New Roman" w:eastAsia="Times New Roman" w:hAnsi="Times New Roman"/>
                <w:b/>
                <w:bCs/>
                <w:sz w:val="22"/>
                <w:szCs w:val="22"/>
              </w:rPr>
              <w:t xml:space="preserve">TOTAL</w:t>
            </w:r>
          </w:p>
        </w:tc>
        <w:tc>
          <w:tcPr>
            <w:tcW w:type="dxa" w:w="1860"/>
            <w:tcBorders>
              <w:top w:val="single" w:color="000000" w:sz="4"/>
              <w:left w:val="single" w:color="000000" w:sz="4"/>
              <w:bottom w:val="single" w:color="000000" w:sz="4"/>
              <w:right w:val="single" w:color="000000" w:sz="4"/>
            </w:tcBorders>
            <w:shd w:fill="EDEDED" w:color="auto" w:val="clear"/>
            <w:tcMar>
              <w:top w:type="dxa" w:w="60"/>
              <w:left w:type="dxa" w:w="100"/>
              <w:bottom w:type="dxa" w:w="60"/>
              <w:right w:type="dxa" w:w="100"/>
            </w:tcMar>
            <w:vAlign w:val="top"/>
          </w:tcPr>
          <w:p>
            <w:pPr>
              <w:spacing w:after="0" w:before="0" w:line="276"/>
            </w:pPr>
            <w:r>
              <w:rPr>
                <w:rFonts w:ascii="Times New Roman" w:cs="Times New Roman" w:eastAsia="Times New Roman" w:hAnsi="Times New Roman"/>
                <w:b/>
                <w:bCs/>
                <w:sz w:val="22"/>
                <w:szCs w:val="22"/>
              </w:rPr>
              <w:t xml:space="preserve">100%</w:t>
            </w:r>
          </w:p>
        </w:tc>
      </w:tr>
    </w:tbl>
    <w:p>
      <w:pPr>
        <w:spacing w:after="120" w:before="120" w:line="276"/>
      </w:pPr>
      <w:r>
        <w:rPr>
          <w:rFonts w:ascii="Times New Roman" w:cs="Times New Roman" w:eastAsia="Times New Roman" w:hAnsi="Times New Roman"/>
          <w:b/>
          <w:bCs/>
          <w:i/>
          <w:iCs/>
          <w:sz w:val="22"/>
          <w:szCs w:val="22"/>
        </w:rPr>
        <w:t xml:space="preserve">Note: </w:t>
      </w:r>
      <w:r>
        <w:rPr>
          <w:rFonts w:ascii="Times New Roman" w:cs="Times New Roman" w:eastAsia="Times New Roman" w:hAnsi="Times New Roman"/>
          <w:sz w:val="22"/>
          <w:szCs w:val="22"/>
        </w:rPr>
        <w:t xml:space="preserve">Every project is submitted as a Git repository plus a written report. Late submissions are reduced by 10% per calendar day unless an extension has been granted in advance (see Course Policies).</w:t>
      </w:r>
    </w:p>
    <w:p>
      <w:pPr>
        <w:keepNext/>
        <w:spacing w:after="140" w:before="280" w:line="276"/>
      </w:pPr>
      <w:r>
        <w:rPr>
          <w:rFonts w:ascii="Times New Roman" w:cs="Times New Roman" w:eastAsia="Times New Roman" w:hAnsi="Times New Roman"/>
          <w:b/>
          <w:bCs/>
          <w:sz w:val="26"/>
          <w:szCs w:val="26"/>
        </w:rPr>
        <w:t xml:space="preserve">Weekly Schedule</w:t>
      </w:r>
    </w:p>
    <w:p>
      <w:pPr>
        <w:spacing w:after="120" w:before="0" w:line="276"/>
      </w:pPr>
      <w:r>
        <w:rPr>
          <w:rFonts w:ascii="Times New Roman" w:cs="Times New Roman" w:eastAsia="Times New Roman" w:hAnsi="Times New Roman"/>
          <w:sz w:val="22"/>
          <w:szCs w:val="22"/>
        </w:rPr>
        <w:t xml:space="preserve">LIU Brooklyn Academic Calendar can be found at this URL: </w:t>
      </w:r>
      <w:hyperlink w:history="1" r:id="rIdy6t5rjaqvxivsip8mjqfx">
        <w:r>
          <w:rPr>
            <w:rStyle w:val="Hyperlink"/>
            <w:rFonts w:ascii="Times New Roman" w:cs="Times New Roman" w:eastAsia="Times New Roman" w:hAnsi="Times New Roman"/>
            <w:color w:val="0563C1"/>
            <w:sz w:val="22"/>
            <w:szCs w:val="22"/>
            <w:u w:val="single"/>
          </w:rPr>
          <w:t xml:space="preserve">https://www.liu.edu/brooklyn/Enrollment-Services/Registration/Academic-Calendar</w:t>
        </w:r>
      </w:hyperlink>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820"/>
        <w:gridCol w:w="1440"/>
        <w:gridCol w:w="3120"/>
        <w:gridCol w:w="1180"/>
        <w:gridCol w:w="2800"/>
      </w:tblGrid>
      <w:tr>
        <w:trPr>
          <w:tblHeader/>
        </w:trPr>
        <w:tc>
          <w:tcPr>
            <w:tcW w:type="dxa" w:w="820"/>
            <w:tcBorders>
              <w:top w:val="single" w:color="000000" w:sz="4"/>
              <w:left w:val="single" w:color="000000" w:sz="4"/>
              <w:bottom w:val="single" w:color="000000" w:sz="4"/>
              <w:right w:val="single" w:color="000000" w:sz="4"/>
            </w:tcBorders>
            <w:shd w:fill="C5D9A1" w:color="auto" w:val="clear"/>
            <w:tcMar>
              <w:top w:type="dxa" w:w="60"/>
              <w:left w:type="dxa" w:w="100"/>
              <w:bottom w:type="dxa" w:w="60"/>
              <w:right w:type="dxa" w:w="100"/>
            </w:tcMar>
            <w:vAlign w:val="top"/>
          </w:tcPr>
          <w:p>
            <w:pPr>
              <w:spacing w:after="0"/>
              <w:jc w:val="center"/>
            </w:pPr>
            <w:r>
              <w:rPr>
                <w:rFonts w:ascii="Times New Roman" w:cs="Times New Roman" w:eastAsia="Times New Roman" w:hAnsi="Times New Roman"/>
                <w:b/>
                <w:bCs/>
                <w:sz w:val="20"/>
                <w:szCs w:val="20"/>
              </w:rPr>
              <w:t xml:space="preserve">Unit</w:t>
            </w:r>
          </w:p>
        </w:tc>
        <w:tc>
          <w:tcPr>
            <w:tcW w:type="dxa" w:w="1440"/>
            <w:tcBorders>
              <w:top w:val="single" w:color="000000" w:sz="4"/>
              <w:left w:val="single" w:color="000000" w:sz="4"/>
              <w:bottom w:val="single" w:color="000000" w:sz="4"/>
              <w:right w:val="single" w:color="000000" w:sz="4"/>
            </w:tcBorders>
            <w:shd w:fill="C5D9A1" w:color="auto" w:val="clear"/>
            <w:tcMar>
              <w:top w:type="dxa" w:w="60"/>
              <w:left w:type="dxa" w:w="100"/>
              <w:bottom w:type="dxa" w:w="60"/>
              <w:right w:type="dxa" w:w="100"/>
            </w:tcMar>
            <w:vAlign w:val="top"/>
          </w:tcPr>
          <w:p>
            <w:pPr>
              <w:spacing w:after="0"/>
              <w:jc w:val="center"/>
            </w:pPr>
            <w:r>
              <w:rPr>
                <w:rFonts w:ascii="Times New Roman" w:cs="Times New Roman" w:eastAsia="Times New Roman" w:hAnsi="Times New Roman"/>
                <w:b/>
                <w:bCs/>
                <w:sz w:val="20"/>
                <w:szCs w:val="20"/>
              </w:rPr>
              <w:t xml:space="preserve">Session · Date</w:t>
            </w:r>
          </w:p>
        </w:tc>
        <w:tc>
          <w:tcPr>
            <w:tcW w:type="dxa" w:w="3120"/>
            <w:tcBorders>
              <w:top w:val="single" w:color="000000" w:sz="4"/>
              <w:left w:val="single" w:color="000000" w:sz="4"/>
              <w:bottom w:val="single" w:color="000000" w:sz="4"/>
              <w:right w:val="single" w:color="000000" w:sz="4"/>
            </w:tcBorders>
            <w:shd w:fill="C5D9A1" w:color="auto" w:val="clear"/>
            <w:tcMar>
              <w:top w:type="dxa" w:w="60"/>
              <w:left w:type="dxa" w:w="100"/>
              <w:bottom w:type="dxa" w:w="60"/>
              <w:right w:type="dxa" w:w="100"/>
            </w:tcMar>
            <w:vAlign w:val="top"/>
          </w:tcPr>
          <w:p>
            <w:pPr>
              <w:spacing w:after="0"/>
              <w:jc w:val="center"/>
            </w:pPr>
            <w:r>
              <w:rPr>
                <w:rFonts w:ascii="Times New Roman" w:cs="Times New Roman" w:eastAsia="Times New Roman" w:hAnsi="Times New Roman"/>
                <w:b/>
                <w:bCs/>
                <w:sz w:val="20"/>
                <w:szCs w:val="20"/>
              </w:rPr>
              <w:t xml:space="preserve">Topic</w:t>
            </w:r>
          </w:p>
        </w:tc>
        <w:tc>
          <w:tcPr>
            <w:tcW w:type="dxa" w:w="1180"/>
            <w:tcBorders>
              <w:top w:val="single" w:color="000000" w:sz="4"/>
              <w:left w:val="single" w:color="000000" w:sz="4"/>
              <w:bottom w:val="single" w:color="000000" w:sz="4"/>
              <w:right w:val="single" w:color="000000" w:sz="4"/>
            </w:tcBorders>
            <w:shd w:fill="C5D9A1" w:color="auto" w:val="clear"/>
            <w:tcMar>
              <w:top w:type="dxa" w:w="60"/>
              <w:left w:type="dxa" w:w="100"/>
              <w:bottom w:type="dxa" w:w="60"/>
              <w:right w:type="dxa" w:w="100"/>
            </w:tcMar>
            <w:vAlign w:val="top"/>
          </w:tcPr>
          <w:p>
            <w:pPr>
              <w:spacing w:after="0"/>
              <w:jc w:val="center"/>
            </w:pPr>
            <w:r>
              <w:rPr>
                <w:rFonts w:ascii="Times New Roman" w:cs="Times New Roman" w:eastAsia="Times New Roman" w:hAnsi="Times New Roman"/>
                <w:b/>
                <w:bCs/>
                <w:sz w:val="20"/>
                <w:szCs w:val="20"/>
              </w:rPr>
              <w:t xml:space="preserve">Materials*</w:t>
            </w:r>
          </w:p>
        </w:tc>
        <w:tc>
          <w:tcPr>
            <w:tcW w:type="dxa" w:w="2800"/>
            <w:tcBorders>
              <w:top w:val="single" w:color="000000" w:sz="4"/>
              <w:left w:val="single" w:color="000000" w:sz="4"/>
              <w:bottom w:val="single" w:color="000000" w:sz="4"/>
              <w:right w:val="single" w:color="000000" w:sz="4"/>
            </w:tcBorders>
            <w:shd w:fill="C5D9A1" w:color="auto" w:val="clear"/>
            <w:tcMar>
              <w:top w:type="dxa" w:w="60"/>
              <w:left w:type="dxa" w:w="100"/>
              <w:bottom w:type="dxa" w:w="60"/>
              <w:right w:type="dxa" w:w="100"/>
            </w:tcMar>
            <w:vAlign w:val="top"/>
          </w:tcPr>
          <w:p>
            <w:pPr>
              <w:spacing w:after="0"/>
              <w:jc w:val="center"/>
            </w:pPr>
            <w:r>
              <w:rPr>
                <w:rFonts w:ascii="Times New Roman" w:cs="Times New Roman" w:eastAsia="Times New Roman" w:hAnsi="Times New Roman"/>
                <w:b/>
                <w:bCs/>
                <w:sz w:val="20"/>
                <w:szCs w:val="20"/>
              </w:rPr>
              <w:t xml:space="preserve">To Do</w:t>
            </w:r>
          </w:p>
        </w:tc>
      </w:tr>
      <w:tr>
        <w:trPr>
          <w:cantSplit/>
        </w:trPr>
        <w:tc>
          <w:tcPr>
            <w:tcW w:type="dxa" w:w="82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Week 1</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S1 · Sep 3</w:t>
            </w:r>
          </w:p>
        </w:tc>
        <w:tc>
          <w:tcPr>
            <w:tcW w:type="dxa" w:w="312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sz w:val="19"/>
                <w:szCs w:val="19"/>
              </w:rPr>
              <w:t xml:space="preserve">Course overview. Sets, proofs, strings, alphabets, and formal languages</w:t>
            </w:r>
          </w:p>
        </w:tc>
        <w:tc>
          <w:tcPr>
            <w:tcW w:type="dxa" w:w="118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Notes 01</w:t>
            </w:r>
          </w:p>
        </w:tc>
        <w:tc>
          <w:tcPr>
            <w:tcW w:type="dxa" w:w="2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pStyle w:val="ListParagraph"/>
              <w:numPr>
                <w:ilvl w:val="0"/>
                <w:numId w:val="1"/>
              </w:numPr>
              <w:spacing w:after="80" w:line="276"/>
            </w:pPr>
            <w:r>
              <w:rPr>
                <w:rFonts w:ascii="Times New Roman" w:cs="Times New Roman" w:eastAsia="Times New Roman" w:hAnsi="Times New Roman"/>
                <w:sz w:val="19"/>
                <w:szCs w:val="19"/>
              </w:rPr>
              <w:t xml:space="preserve">Set up Python environment, Git, and GitHub</w:t>
            </w:r>
          </w:p>
          <w:p>
            <w:pPr>
              <w:pStyle w:val="ListParagraph"/>
              <w:numPr>
                <w:ilvl w:val="0"/>
                <w:numId w:val="1"/>
              </w:numPr>
              <w:spacing w:after="80" w:line="276"/>
            </w:pPr>
            <w:r>
              <w:rPr>
                <w:rFonts w:ascii="Times New Roman" w:cs="Times New Roman" w:eastAsia="Times New Roman" w:hAnsi="Times New Roman"/>
                <w:sz w:val="19"/>
                <w:szCs w:val="19"/>
              </w:rPr>
              <w:t xml:space="preserve">Join the course repository</w:t>
            </w:r>
          </w:p>
        </w:tc>
      </w:tr>
      <w:tr>
        <w:trPr>
          <w:cantSplit/>
        </w:trPr>
        <w:tc>
          <w:tcPr>
            <w:tcW w:type="dxa" w:w="82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Week 2</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S2–S3 · Sep 8, Sep 10</w:t>
            </w:r>
          </w:p>
        </w:tc>
        <w:tc>
          <w:tcPr>
            <w:tcW w:type="dxa" w:w="312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sz w:val="19"/>
                <w:szCs w:val="19"/>
              </w:rPr>
              <w:t xml:space="preserve">Deterministic finite automata: definition, computation, and construction</w:t>
            </w:r>
          </w:p>
        </w:tc>
        <w:tc>
          <w:tcPr>
            <w:tcW w:type="dxa" w:w="118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Notes 02</w:t>
            </w:r>
          </w:p>
        </w:tc>
        <w:tc>
          <w:tcPr>
            <w:tcW w:type="dxa" w:w="2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pStyle w:val="ListParagraph"/>
              <w:numPr>
                <w:ilvl w:val="0"/>
                <w:numId w:val="1"/>
              </w:numPr>
              <w:spacing w:after="80" w:line="276"/>
            </w:pPr>
            <w:r>
              <w:rPr>
                <w:rFonts w:ascii="Times New Roman" w:cs="Times New Roman" w:eastAsia="Times New Roman" w:hAnsi="Times New Roman"/>
                <w:sz w:val="19"/>
                <w:szCs w:val="19"/>
              </w:rPr>
              <w:t xml:space="preserve">Review Notes 01–02</w:t>
            </w:r>
          </w:p>
          <w:p>
            <w:pPr>
              <w:pStyle w:val="ListParagraph"/>
              <w:numPr>
                <w:ilvl w:val="0"/>
                <w:numId w:val="1"/>
              </w:numPr>
              <w:spacing w:after="80" w:line="276"/>
            </w:pPr>
            <w:r>
              <w:rPr>
                <w:rFonts w:ascii="Times New Roman" w:cs="Times New Roman" w:eastAsia="Times New Roman" w:hAnsi="Times New Roman"/>
                <w:sz w:val="19"/>
                <w:szCs w:val="19"/>
              </w:rPr>
              <w:t xml:space="preserve">Project 1 specification released</w:t>
            </w:r>
          </w:p>
        </w:tc>
      </w:tr>
      <w:tr>
        <w:trPr>
          <w:cantSplit/>
        </w:trPr>
        <w:tc>
          <w:tcPr>
            <w:tcW w:type="dxa" w:w="82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Week 3</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S4–S5 · Sep 15, Sep 17</w:t>
            </w:r>
          </w:p>
        </w:tc>
        <w:tc>
          <w:tcPr>
            <w:tcW w:type="dxa" w:w="312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sz w:val="19"/>
                <w:szCs w:val="19"/>
              </w:rPr>
              <w:t xml:space="preserve">Nondeterministic finite automata and the subset construction</w:t>
            </w:r>
          </w:p>
        </w:tc>
        <w:tc>
          <w:tcPr>
            <w:tcW w:type="dxa" w:w="118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Notes 03</w:t>
            </w:r>
          </w:p>
        </w:tc>
        <w:tc>
          <w:tcPr>
            <w:tcW w:type="dxa" w:w="2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pStyle w:val="ListParagraph"/>
              <w:numPr>
                <w:ilvl w:val="0"/>
                <w:numId w:val="1"/>
              </w:numPr>
              <w:spacing w:after="80" w:line="276"/>
            </w:pPr>
            <w:r>
              <w:rPr>
                <w:rFonts w:ascii="Times New Roman" w:cs="Times New Roman" w:eastAsia="Times New Roman" w:hAnsi="Times New Roman"/>
                <w:sz w:val="19"/>
                <w:szCs w:val="19"/>
              </w:rPr>
              <w:t xml:space="preserve">Review Notes 03</w:t>
            </w:r>
          </w:p>
          <w:p>
            <w:pPr>
              <w:pStyle w:val="ListParagraph"/>
              <w:numPr>
                <w:ilvl w:val="0"/>
                <w:numId w:val="1"/>
              </w:numPr>
              <w:spacing w:after="80" w:line="276"/>
            </w:pPr>
            <w:r>
              <w:rPr>
                <w:rFonts w:ascii="Times New Roman" w:cs="Times New Roman" w:eastAsia="Times New Roman" w:hAnsi="Times New Roman"/>
                <w:sz w:val="19"/>
                <w:szCs w:val="19"/>
              </w:rPr>
              <w:t xml:space="preserve">Project 1 work begins</w:t>
            </w:r>
          </w:p>
        </w:tc>
      </w:tr>
      <w:tr>
        <w:trPr>
          <w:cantSplit/>
        </w:trPr>
        <w:tc>
          <w:tcPr>
            <w:tcW w:type="dxa" w:w="82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Week 4</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S6–S7 · Sep 22, Sep 24</w:t>
            </w:r>
          </w:p>
        </w:tc>
        <w:tc>
          <w:tcPr>
            <w:tcW w:type="dxa" w:w="312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sz w:val="19"/>
                <w:szCs w:val="19"/>
              </w:rPr>
              <w:t xml:space="preserve">Regular expressions, equivalence with automata, and closure properties</w:t>
            </w:r>
          </w:p>
        </w:tc>
        <w:tc>
          <w:tcPr>
            <w:tcW w:type="dxa" w:w="118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Notes 04</w:t>
            </w:r>
          </w:p>
        </w:tc>
        <w:tc>
          <w:tcPr>
            <w:tcW w:type="dxa" w:w="2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pStyle w:val="ListParagraph"/>
              <w:numPr>
                <w:ilvl w:val="0"/>
                <w:numId w:val="1"/>
              </w:numPr>
              <w:spacing w:after="80" w:line="276"/>
            </w:pPr>
            <w:r>
              <w:rPr>
                <w:rFonts w:ascii="Times New Roman" w:cs="Times New Roman" w:eastAsia="Times New Roman" w:hAnsi="Times New Roman"/>
                <w:sz w:val="19"/>
                <w:szCs w:val="19"/>
              </w:rPr>
              <w:t xml:space="preserve">Review Notes 04</w:t>
            </w:r>
          </w:p>
          <w:p>
            <w:pPr>
              <w:pStyle w:val="ListParagraph"/>
              <w:numPr>
                <w:ilvl w:val="0"/>
                <w:numId w:val="1"/>
              </w:numPr>
              <w:spacing w:after="80" w:line="276"/>
            </w:pPr>
            <w:r>
              <w:rPr>
                <w:rFonts w:ascii="Times New Roman" w:cs="Times New Roman" w:eastAsia="Times New Roman" w:hAnsi="Times New Roman"/>
                <w:sz w:val="19"/>
                <w:szCs w:val="19"/>
              </w:rPr>
              <w:t xml:space="preserve">Project 1 in progress</w:t>
            </w:r>
          </w:p>
        </w:tc>
      </w:tr>
      <w:tr>
        <w:trPr>
          <w:cantSplit/>
        </w:trPr>
        <w:tc>
          <w:tcPr>
            <w:tcW w:type="dxa" w:w="82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Week 5</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S8–S9 · Sep 29, Oct 1</w:t>
            </w:r>
          </w:p>
        </w:tc>
        <w:tc>
          <w:tcPr>
            <w:tcW w:type="dxa" w:w="312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sz w:val="19"/>
                <w:szCs w:val="19"/>
              </w:rPr>
              <w:t xml:space="preserve">The pumping lemma for regular languages. Myhill–Nerode and minimization</w:t>
            </w:r>
          </w:p>
        </w:tc>
        <w:tc>
          <w:tcPr>
            <w:tcW w:type="dxa" w:w="118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Notes 05</w:t>
            </w:r>
          </w:p>
        </w:tc>
        <w:tc>
          <w:tcPr>
            <w:tcW w:type="dxa" w:w="2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pStyle w:val="ListParagraph"/>
              <w:numPr>
                <w:ilvl w:val="0"/>
                <w:numId w:val="1"/>
              </w:numPr>
              <w:spacing w:after="80" w:line="276"/>
            </w:pPr>
            <w:r>
              <w:rPr>
                <w:rFonts w:ascii="Times New Roman" w:cs="Times New Roman" w:eastAsia="Times New Roman" w:hAnsi="Times New Roman"/>
                <w:sz w:val="19"/>
                <w:szCs w:val="19"/>
              </w:rPr>
              <w:t xml:space="preserve">Review Notes 05</w:t>
            </w:r>
          </w:p>
          <w:p>
            <w:pPr>
              <w:pStyle w:val="ListParagraph"/>
              <w:numPr>
                <w:ilvl w:val="0"/>
                <w:numId w:val="1"/>
              </w:numPr>
              <w:spacing w:after="80" w:line="276"/>
            </w:pPr>
            <w:r>
              <w:rPr>
                <w:rFonts w:ascii="Times New Roman" w:cs="Times New Roman" w:eastAsia="Times New Roman" w:hAnsi="Times New Roman"/>
                <w:sz w:val="19"/>
                <w:szCs w:val="19"/>
              </w:rPr>
              <w:t xml:space="preserve">Project 1 due</w:t>
            </w:r>
          </w:p>
        </w:tc>
      </w:tr>
      <w:tr>
        <w:trPr>
          <w:cantSplit/>
        </w:trPr>
        <w:tc>
          <w:tcPr>
            <w:tcW w:type="dxa" w:w="82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Week 6</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S10–S11 · Oct 6, Oct 8</w:t>
            </w:r>
          </w:p>
        </w:tc>
        <w:tc>
          <w:tcPr>
            <w:tcW w:type="dxa" w:w="312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sz w:val="19"/>
                <w:szCs w:val="19"/>
              </w:rPr>
              <w:t xml:space="preserve">Context-free grammars, derivations, parse trees, and ambiguity</w:t>
            </w:r>
          </w:p>
        </w:tc>
        <w:tc>
          <w:tcPr>
            <w:tcW w:type="dxa" w:w="118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Notes 06</w:t>
            </w:r>
          </w:p>
        </w:tc>
        <w:tc>
          <w:tcPr>
            <w:tcW w:type="dxa" w:w="2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pStyle w:val="ListParagraph"/>
              <w:numPr>
                <w:ilvl w:val="0"/>
                <w:numId w:val="1"/>
              </w:numPr>
              <w:spacing w:after="80" w:line="276"/>
            </w:pPr>
            <w:r>
              <w:rPr>
                <w:rFonts w:ascii="Times New Roman" w:cs="Times New Roman" w:eastAsia="Times New Roman" w:hAnsi="Times New Roman"/>
                <w:sz w:val="19"/>
                <w:szCs w:val="19"/>
              </w:rPr>
              <w:t xml:space="preserve">Review Notes 06</w:t>
            </w:r>
          </w:p>
          <w:p>
            <w:pPr>
              <w:pStyle w:val="ListParagraph"/>
              <w:numPr>
                <w:ilvl w:val="0"/>
                <w:numId w:val="1"/>
              </w:numPr>
              <w:spacing w:after="80" w:line="276"/>
            </w:pPr>
            <w:r>
              <w:rPr>
                <w:rFonts w:ascii="Times New Roman" w:cs="Times New Roman" w:eastAsia="Times New Roman" w:hAnsi="Times New Roman"/>
                <w:sz w:val="19"/>
                <w:szCs w:val="19"/>
              </w:rPr>
              <w:t xml:space="preserve">Project 2 specification released</w:t>
            </w:r>
          </w:p>
        </w:tc>
      </w:tr>
      <w:tr>
        <w:trPr>
          <w:cantSplit/>
        </w:trPr>
        <w:tc>
          <w:tcPr>
            <w:tcW w:type="dxa" w:w="82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Week 7</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S12–S13 · Oct 13, Oct 15</w:t>
            </w:r>
          </w:p>
        </w:tc>
        <w:tc>
          <w:tcPr>
            <w:tcW w:type="dxa" w:w="312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sz w:val="19"/>
                <w:szCs w:val="19"/>
              </w:rPr>
              <w:t xml:space="preserve">Pushdown automata and the equivalence of PDAs and CFGs</w:t>
            </w:r>
          </w:p>
        </w:tc>
        <w:tc>
          <w:tcPr>
            <w:tcW w:type="dxa" w:w="118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Notes 07</w:t>
            </w:r>
          </w:p>
        </w:tc>
        <w:tc>
          <w:tcPr>
            <w:tcW w:type="dxa" w:w="2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pStyle w:val="ListParagraph"/>
              <w:numPr>
                <w:ilvl w:val="0"/>
                <w:numId w:val="1"/>
              </w:numPr>
              <w:spacing w:after="80" w:line="276"/>
            </w:pPr>
            <w:r>
              <w:rPr>
                <w:rFonts w:ascii="Times New Roman" w:cs="Times New Roman" w:eastAsia="Times New Roman" w:hAnsi="Times New Roman"/>
                <w:sz w:val="19"/>
                <w:szCs w:val="19"/>
              </w:rPr>
              <w:t xml:space="preserve">Review Notes 07</w:t>
            </w:r>
          </w:p>
          <w:p>
            <w:pPr>
              <w:pStyle w:val="ListParagraph"/>
              <w:numPr>
                <w:ilvl w:val="0"/>
                <w:numId w:val="1"/>
              </w:numPr>
              <w:spacing w:after="80" w:line="276"/>
            </w:pPr>
            <w:r>
              <w:rPr>
                <w:rFonts w:ascii="Times New Roman" w:cs="Times New Roman" w:eastAsia="Times New Roman" w:hAnsi="Times New Roman"/>
                <w:sz w:val="19"/>
                <w:szCs w:val="19"/>
              </w:rPr>
              <w:t xml:space="preserve">Project 2 in progress</w:t>
            </w:r>
          </w:p>
        </w:tc>
      </w:tr>
      <w:tr>
        <w:trPr>
          <w:cantSplit/>
        </w:trPr>
        <w:tc>
          <w:tcPr>
            <w:tcW w:type="dxa" w:w="82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Week 8</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S14–S15 · Oct 20, Oct 22</w:t>
            </w:r>
          </w:p>
        </w:tc>
        <w:tc>
          <w:tcPr>
            <w:tcW w:type="dxa" w:w="312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sz w:val="19"/>
                <w:szCs w:val="19"/>
              </w:rPr>
              <w:t xml:space="preserve">The pumping lemma for context-free languages. Parsing in practice</w:t>
            </w:r>
          </w:p>
        </w:tc>
        <w:tc>
          <w:tcPr>
            <w:tcW w:type="dxa" w:w="118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Notes 08</w:t>
            </w:r>
          </w:p>
        </w:tc>
        <w:tc>
          <w:tcPr>
            <w:tcW w:type="dxa" w:w="2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pStyle w:val="ListParagraph"/>
              <w:numPr>
                <w:ilvl w:val="0"/>
                <w:numId w:val="1"/>
              </w:numPr>
              <w:spacing w:after="80" w:line="276"/>
            </w:pPr>
            <w:r>
              <w:rPr>
                <w:rFonts w:ascii="Times New Roman" w:cs="Times New Roman" w:eastAsia="Times New Roman" w:hAnsi="Times New Roman"/>
                <w:sz w:val="19"/>
                <w:szCs w:val="19"/>
              </w:rPr>
              <w:t xml:space="preserve">Review Notes 08</w:t>
            </w:r>
          </w:p>
          <w:p>
            <w:pPr>
              <w:pStyle w:val="ListParagraph"/>
              <w:numPr>
                <w:ilvl w:val="0"/>
                <w:numId w:val="1"/>
              </w:numPr>
              <w:spacing w:after="80" w:line="276"/>
            </w:pPr>
            <w:r>
              <w:rPr>
                <w:rFonts w:ascii="Times New Roman" w:cs="Times New Roman" w:eastAsia="Times New Roman" w:hAnsi="Times New Roman"/>
                <w:sz w:val="19"/>
                <w:szCs w:val="19"/>
              </w:rPr>
              <w:t xml:space="preserve">Project 2 due</w:t>
            </w:r>
          </w:p>
        </w:tc>
      </w:tr>
      <w:tr>
        <w:trPr>
          <w:cantSplit/>
        </w:trPr>
        <w:tc>
          <w:tcPr>
            <w:tcW w:type="dxa" w:w="82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Week 9</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S16–S17 · Oct 27, Oct 29</w:t>
            </w:r>
          </w:p>
        </w:tc>
        <w:tc>
          <w:tcPr>
            <w:tcW w:type="dxa" w:w="312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sz w:val="19"/>
                <w:szCs w:val="19"/>
              </w:rPr>
              <w:t xml:space="preserve">Turing machines: the model, configurations, and variants</w:t>
            </w:r>
          </w:p>
        </w:tc>
        <w:tc>
          <w:tcPr>
            <w:tcW w:type="dxa" w:w="118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Notes 09</w:t>
            </w:r>
          </w:p>
        </w:tc>
        <w:tc>
          <w:tcPr>
            <w:tcW w:type="dxa" w:w="2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pStyle w:val="ListParagraph"/>
              <w:numPr>
                <w:ilvl w:val="0"/>
                <w:numId w:val="1"/>
              </w:numPr>
              <w:spacing w:after="80" w:line="276"/>
            </w:pPr>
            <w:r>
              <w:rPr>
                <w:rFonts w:ascii="Times New Roman" w:cs="Times New Roman" w:eastAsia="Times New Roman" w:hAnsi="Times New Roman"/>
                <w:sz w:val="19"/>
                <w:szCs w:val="19"/>
              </w:rPr>
              <w:t xml:space="preserve">Review Notes 09</w:t>
            </w:r>
          </w:p>
          <w:p>
            <w:pPr>
              <w:pStyle w:val="ListParagraph"/>
              <w:numPr>
                <w:ilvl w:val="0"/>
                <w:numId w:val="1"/>
              </w:numPr>
              <w:spacing w:after="80" w:line="276"/>
            </w:pPr>
            <w:r>
              <w:rPr>
                <w:rFonts w:ascii="Times New Roman" w:cs="Times New Roman" w:eastAsia="Times New Roman" w:hAnsi="Times New Roman"/>
                <w:sz w:val="19"/>
                <w:szCs w:val="19"/>
              </w:rPr>
              <w:t xml:space="preserve">Project 3 specification released</w:t>
            </w:r>
          </w:p>
        </w:tc>
      </w:tr>
      <w:tr>
        <w:trPr>
          <w:cantSplit/>
        </w:trPr>
        <w:tc>
          <w:tcPr>
            <w:tcW w:type="dxa" w:w="82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Week 10</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S18–S19 · Nov 3, Nov 5</w:t>
            </w:r>
          </w:p>
        </w:tc>
        <w:tc>
          <w:tcPr>
            <w:tcW w:type="dxa" w:w="312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sz w:val="19"/>
                <w:szCs w:val="19"/>
              </w:rPr>
              <w:t xml:space="preserve">The Church–Turing thesis. Decidable and recognizable languages</w:t>
            </w:r>
          </w:p>
        </w:tc>
        <w:tc>
          <w:tcPr>
            <w:tcW w:type="dxa" w:w="118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Notes 10</w:t>
            </w:r>
          </w:p>
        </w:tc>
        <w:tc>
          <w:tcPr>
            <w:tcW w:type="dxa" w:w="2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pStyle w:val="ListParagraph"/>
              <w:numPr>
                <w:ilvl w:val="0"/>
                <w:numId w:val="1"/>
              </w:numPr>
              <w:spacing w:after="80" w:line="276"/>
            </w:pPr>
            <w:r>
              <w:rPr>
                <w:rFonts w:ascii="Times New Roman" w:cs="Times New Roman" w:eastAsia="Times New Roman" w:hAnsi="Times New Roman"/>
                <w:sz w:val="19"/>
                <w:szCs w:val="19"/>
              </w:rPr>
              <w:t xml:space="preserve">Review Notes 10</w:t>
            </w:r>
          </w:p>
          <w:p>
            <w:pPr>
              <w:pStyle w:val="ListParagraph"/>
              <w:numPr>
                <w:ilvl w:val="0"/>
                <w:numId w:val="1"/>
              </w:numPr>
              <w:spacing w:after="80" w:line="276"/>
            </w:pPr>
            <w:r>
              <w:rPr>
                <w:rFonts w:ascii="Times New Roman" w:cs="Times New Roman" w:eastAsia="Times New Roman" w:hAnsi="Times New Roman"/>
                <w:sz w:val="19"/>
                <w:szCs w:val="19"/>
              </w:rPr>
              <w:t xml:space="preserve">Project 3 in progress</w:t>
            </w:r>
          </w:p>
        </w:tc>
      </w:tr>
      <w:tr>
        <w:trPr>
          <w:cantSplit/>
        </w:trPr>
        <w:tc>
          <w:tcPr>
            <w:tcW w:type="dxa" w:w="82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Week 11</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S20–S21 · Nov 10, Nov 12</w:t>
            </w:r>
          </w:p>
        </w:tc>
        <w:tc>
          <w:tcPr>
            <w:tcW w:type="dxa" w:w="312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sz w:val="19"/>
                <w:szCs w:val="19"/>
              </w:rPr>
              <w:t xml:space="preserve">Undecidability, diagonalization, and the halting problem</w:t>
            </w:r>
          </w:p>
        </w:tc>
        <w:tc>
          <w:tcPr>
            <w:tcW w:type="dxa" w:w="118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Notes 11</w:t>
            </w:r>
          </w:p>
        </w:tc>
        <w:tc>
          <w:tcPr>
            <w:tcW w:type="dxa" w:w="2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pStyle w:val="ListParagraph"/>
              <w:numPr>
                <w:ilvl w:val="0"/>
                <w:numId w:val="1"/>
              </w:numPr>
              <w:spacing w:after="80" w:line="276"/>
            </w:pPr>
            <w:r>
              <w:rPr>
                <w:rFonts w:ascii="Times New Roman" w:cs="Times New Roman" w:eastAsia="Times New Roman" w:hAnsi="Times New Roman"/>
                <w:sz w:val="19"/>
                <w:szCs w:val="19"/>
              </w:rPr>
              <w:t xml:space="preserve">Review Notes 11</w:t>
            </w:r>
          </w:p>
          <w:p>
            <w:pPr>
              <w:pStyle w:val="ListParagraph"/>
              <w:numPr>
                <w:ilvl w:val="0"/>
                <w:numId w:val="1"/>
              </w:numPr>
              <w:spacing w:after="80" w:line="276"/>
            </w:pPr>
            <w:r>
              <w:rPr>
                <w:rFonts w:ascii="Times New Roman" w:cs="Times New Roman" w:eastAsia="Times New Roman" w:hAnsi="Times New Roman"/>
                <w:sz w:val="19"/>
                <w:szCs w:val="19"/>
              </w:rPr>
              <w:t xml:space="preserve">Project 3 in progress</w:t>
            </w:r>
          </w:p>
        </w:tc>
      </w:tr>
      <w:tr>
        <w:trPr>
          <w:cantSplit/>
        </w:trPr>
        <w:tc>
          <w:tcPr>
            <w:tcW w:type="dxa" w:w="82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Week 12</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S22–S23 · Nov 17, Nov 19</w:t>
            </w:r>
          </w:p>
        </w:tc>
        <w:tc>
          <w:tcPr>
            <w:tcW w:type="dxa" w:w="312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sz w:val="19"/>
                <w:szCs w:val="19"/>
              </w:rPr>
              <w:t xml:space="preserve">Mapping reductions and Rice’s theorem</w:t>
            </w:r>
          </w:p>
        </w:tc>
        <w:tc>
          <w:tcPr>
            <w:tcW w:type="dxa" w:w="118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Notes 12</w:t>
            </w:r>
          </w:p>
        </w:tc>
        <w:tc>
          <w:tcPr>
            <w:tcW w:type="dxa" w:w="2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pStyle w:val="ListParagraph"/>
              <w:numPr>
                <w:ilvl w:val="0"/>
                <w:numId w:val="1"/>
              </w:numPr>
              <w:spacing w:after="80" w:line="276"/>
            </w:pPr>
            <w:r>
              <w:rPr>
                <w:rFonts w:ascii="Times New Roman" w:cs="Times New Roman" w:eastAsia="Times New Roman" w:hAnsi="Times New Roman"/>
                <w:sz w:val="19"/>
                <w:szCs w:val="19"/>
              </w:rPr>
              <w:t xml:space="preserve">Review Notes 12</w:t>
            </w:r>
          </w:p>
          <w:p>
            <w:pPr>
              <w:pStyle w:val="ListParagraph"/>
              <w:numPr>
                <w:ilvl w:val="0"/>
                <w:numId w:val="1"/>
              </w:numPr>
              <w:spacing w:after="80" w:line="276"/>
            </w:pPr>
            <w:r>
              <w:rPr>
                <w:rFonts w:ascii="Times New Roman" w:cs="Times New Roman" w:eastAsia="Times New Roman" w:hAnsi="Times New Roman"/>
                <w:sz w:val="19"/>
                <w:szCs w:val="19"/>
              </w:rPr>
              <w:t xml:space="preserve">Project 3 due</w:t>
            </w:r>
          </w:p>
          <w:p>
            <w:pPr>
              <w:pStyle w:val="ListParagraph"/>
              <w:numPr>
                <w:ilvl w:val="0"/>
                <w:numId w:val="1"/>
              </w:numPr>
              <w:spacing w:after="80" w:line="276"/>
            </w:pPr>
            <w:r>
              <w:rPr>
                <w:rFonts w:ascii="Times New Roman" w:cs="Times New Roman" w:eastAsia="Times New Roman" w:hAnsi="Times New Roman"/>
                <w:sz w:val="19"/>
                <w:szCs w:val="19"/>
              </w:rPr>
              <w:t xml:space="preserve">Project 4 specification released</w:t>
            </w:r>
          </w:p>
        </w:tc>
      </w:tr>
      <w:tr>
        <w:trPr>
          <w:cantSplit/>
        </w:trPr>
        <w:tc>
          <w:tcPr>
            <w:tcW w:type="dxa" w:w="82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Week 13</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S24 · Nov 24</w:t>
            </w:r>
          </w:p>
        </w:tc>
        <w:tc>
          <w:tcPr>
            <w:tcW w:type="dxa" w:w="312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sz w:val="19"/>
                <w:szCs w:val="19"/>
              </w:rPr>
              <w:t xml:space="preserve">Time complexity, the class P, nondeterminism, and the class NP</w:t>
            </w:r>
          </w:p>
        </w:tc>
        <w:tc>
          <w:tcPr>
            <w:tcW w:type="dxa" w:w="118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Notes 13</w:t>
            </w:r>
          </w:p>
        </w:tc>
        <w:tc>
          <w:tcPr>
            <w:tcW w:type="dxa" w:w="2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pStyle w:val="ListParagraph"/>
              <w:numPr>
                <w:ilvl w:val="0"/>
                <w:numId w:val="1"/>
              </w:numPr>
              <w:spacing w:after="80" w:line="276"/>
            </w:pPr>
            <w:r>
              <w:rPr>
                <w:rFonts w:ascii="Times New Roman" w:cs="Times New Roman" w:eastAsia="Times New Roman" w:hAnsi="Times New Roman"/>
                <w:sz w:val="19"/>
                <w:szCs w:val="19"/>
              </w:rPr>
              <w:t xml:space="preserve">Review Notes 13</w:t>
            </w:r>
          </w:p>
          <w:p>
            <w:pPr>
              <w:pStyle w:val="ListParagraph"/>
              <w:numPr>
                <w:ilvl w:val="0"/>
                <w:numId w:val="1"/>
              </w:numPr>
              <w:spacing w:after="80" w:line="276"/>
            </w:pPr>
            <w:r>
              <w:rPr>
                <w:rFonts w:ascii="Times New Roman" w:cs="Times New Roman" w:eastAsia="Times New Roman" w:hAnsi="Times New Roman"/>
                <w:sz w:val="19"/>
                <w:szCs w:val="19"/>
              </w:rPr>
              <w:t xml:space="preserve">Capstone proposal due</w:t>
            </w:r>
          </w:p>
          <w:p>
            <w:pPr>
              <w:pStyle w:val="ListParagraph"/>
              <w:numPr>
                <w:ilvl w:val="0"/>
                <w:numId w:val="1"/>
              </w:numPr>
              <w:spacing w:after="80" w:line="276"/>
            </w:pPr>
            <w:r>
              <w:rPr>
                <w:rFonts w:ascii="Times New Roman" w:cs="Times New Roman" w:eastAsia="Times New Roman" w:hAnsi="Times New Roman"/>
                <w:i/>
                <w:iCs/>
                <w:sz w:val="19"/>
                <w:szCs w:val="19"/>
              </w:rPr>
              <w:t xml:space="preserve">Nov 26 — no class (Thanksgiving)</w:t>
            </w:r>
          </w:p>
        </w:tc>
      </w:tr>
      <w:tr>
        <w:trPr>
          <w:cantSplit/>
        </w:trPr>
        <w:tc>
          <w:tcPr>
            <w:tcW w:type="dxa" w:w="82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Week 14</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S25–S26 · Dec 1, Dec 3</w:t>
            </w:r>
          </w:p>
        </w:tc>
        <w:tc>
          <w:tcPr>
            <w:tcW w:type="dxa" w:w="312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sz w:val="19"/>
                <w:szCs w:val="19"/>
              </w:rPr>
              <w:t xml:space="preserve">NP-completeness, the Cook–Levin theorem, and polynomial-time reductions</w:t>
            </w:r>
          </w:p>
        </w:tc>
        <w:tc>
          <w:tcPr>
            <w:tcW w:type="dxa" w:w="118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Notes 14</w:t>
            </w:r>
          </w:p>
        </w:tc>
        <w:tc>
          <w:tcPr>
            <w:tcW w:type="dxa" w:w="2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pStyle w:val="ListParagraph"/>
              <w:numPr>
                <w:ilvl w:val="0"/>
                <w:numId w:val="1"/>
              </w:numPr>
              <w:spacing w:after="80" w:line="276"/>
            </w:pPr>
            <w:r>
              <w:rPr>
                <w:rFonts w:ascii="Times New Roman" w:cs="Times New Roman" w:eastAsia="Times New Roman" w:hAnsi="Times New Roman"/>
                <w:sz w:val="19"/>
                <w:szCs w:val="19"/>
              </w:rPr>
              <w:t xml:space="preserve">Review Notes 14</w:t>
            </w:r>
          </w:p>
          <w:p>
            <w:pPr>
              <w:pStyle w:val="ListParagraph"/>
              <w:numPr>
                <w:ilvl w:val="0"/>
                <w:numId w:val="1"/>
              </w:numPr>
              <w:spacing w:after="80" w:line="276"/>
            </w:pPr>
            <w:r>
              <w:rPr>
                <w:rFonts w:ascii="Times New Roman" w:cs="Times New Roman" w:eastAsia="Times New Roman" w:hAnsi="Times New Roman"/>
                <w:sz w:val="19"/>
                <w:szCs w:val="19"/>
              </w:rPr>
              <w:t xml:space="preserve">Capstone in progress</w:t>
            </w:r>
          </w:p>
        </w:tc>
      </w:tr>
      <w:tr>
        <w:trPr>
          <w:cantSplit/>
        </w:trPr>
        <w:tc>
          <w:tcPr>
            <w:tcW w:type="dxa" w:w="82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Week 15</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S27–S28 · Dec 8, Dec 10</w:t>
            </w:r>
          </w:p>
        </w:tc>
        <w:tc>
          <w:tcPr>
            <w:tcW w:type="dxa" w:w="312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sz w:val="19"/>
                <w:szCs w:val="19"/>
              </w:rPr>
              <w:t xml:space="preserve">Space complexity and PSPACE. Capstone presentations</w:t>
            </w:r>
          </w:p>
        </w:tc>
        <w:tc>
          <w:tcPr>
            <w:tcW w:type="dxa" w:w="118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Notes 15</w:t>
            </w:r>
          </w:p>
        </w:tc>
        <w:tc>
          <w:tcPr>
            <w:tcW w:type="dxa" w:w="2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pStyle w:val="ListParagraph"/>
              <w:numPr>
                <w:ilvl w:val="0"/>
                <w:numId w:val="1"/>
              </w:numPr>
              <w:spacing w:after="80" w:line="276"/>
            </w:pPr>
            <w:r>
              <w:rPr>
                <w:rFonts w:ascii="Times New Roman" w:cs="Times New Roman" w:eastAsia="Times New Roman" w:hAnsi="Times New Roman"/>
                <w:sz w:val="19"/>
                <w:szCs w:val="19"/>
              </w:rPr>
              <w:t xml:space="preserve">Review Notes 15</w:t>
            </w:r>
          </w:p>
          <w:p>
            <w:pPr>
              <w:pStyle w:val="ListParagraph"/>
              <w:numPr>
                <w:ilvl w:val="0"/>
                <w:numId w:val="1"/>
              </w:numPr>
              <w:spacing w:after="80" w:line="276"/>
            </w:pPr>
            <w:r>
              <w:rPr>
                <w:rFonts w:ascii="Times New Roman" w:cs="Times New Roman" w:eastAsia="Times New Roman" w:hAnsi="Times New Roman"/>
                <w:sz w:val="19"/>
                <w:szCs w:val="19"/>
              </w:rPr>
              <w:t xml:space="preserve">Capstone presentations</w:t>
            </w:r>
          </w:p>
          <w:p>
            <w:pPr>
              <w:pStyle w:val="ListParagraph"/>
              <w:numPr>
                <w:ilvl w:val="0"/>
                <w:numId w:val="1"/>
              </w:numPr>
              <w:spacing w:after="80" w:line="276"/>
            </w:pPr>
            <w:r>
              <w:rPr>
                <w:rFonts w:ascii="Times New Roman" w:cs="Times New Roman" w:eastAsia="Times New Roman" w:hAnsi="Times New Roman"/>
                <w:sz w:val="19"/>
                <w:szCs w:val="19"/>
              </w:rPr>
              <w:t xml:space="preserve">Final report and code submission</w:t>
            </w:r>
          </w:p>
        </w:tc>
      </w:tr>
      <w:tr>
        <w:tc>
          <w:tcPr>
            <w:tcW w:type="dxa" w:w="82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Finals</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Dec 14–21</w:t>
            </w:r>
          </w:p>
        </w:tc>
        <w:tc>
          <w:tcPr>
            <w:tcW w:type="dxa" w:w="71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b/>
                <w:bCs/>
                <w:sz w:val="19"/>
                <w:szCs w:val="19"/>
              </w:rPr>
              <w:t xml:space="preserve">Final capstone deliverables due. No final examination.</w:t>
            </w:r>
          </w:p>
        </w:tc>
      </w:tr>
    </w:tbl>
    <w:p>
      <w:pPr>
        <w:spacing w:after="120" w:before="100" w:line="276"/>
      </w:pPr>
      <w:r>
        <w:rPr>
          <w:rFonts w:ascii="Times New Roman" w:cs="Times New Roman" w:eastAsia="Times New Roman" w:hAnsi="Times New Roman"/>
          <w:b/>
          <w:bCs/>
          <w:sz w:val="22"/>
          <w:szCs w:val="22"/>
        </w:rPr>
        <w:t xml:space="preserve">Note (*): </w:t>
      </w:r>
      <w:r>
        <w:rPr>
          <w:rFonts w:ascii="Times New Roman" w:cs="Times New Roman" w:eastAsia="Times New Roman" w:hAnsi="Times New Roman"/>
          <w:b/>
          <w:bCs/>
          <w:sz w:val="22"/>
          <w:szCs w:val="22"/>
        </w:rPr>
        <w:t xml:space="preserve">“Notes NN” refers to the instructor-written note set posted in the course repository for that week. The schedule above is aligned to the LIU Brooklyn academic calendar; any session affected by a University holiday, closure, or calendar change will be adjusted and announced in class and on Brightspace (lms.liu.edu) in advance.</w:t>
      </w:r>
    </w:p>
    <w:p>
      <w:pPr>
        <w:keepNext/>
        <w:spacing w:after="140" w:before="280" w:line="276"/>
      </w:pPr>
      <w:r>
        <w:rPr>
          <w:rFonts w:ascii="Times New Roman" w:cs="Times New Roman" w:eastAsia="Times New Roman" w:hAnsi="Times New Roman"/>
          <w:b/>
          <w:bCs/>
          <w:sz w:val="26"/>
          <w:szCs w:val="26"/>
        </w:rPr>
        <w:t xml:space="preserve">Course Time Commitment</w:t>
      </w:r>
    </w:p>
    <w:tbl>
      <w:tblPr>
        <w:tblW w:type="dxa" w:w="5800"/>
        <w:jc w:val="center"/>
        <w:tblBorders>
          <w:top w:val="single" w:color="auto" w:sz="4"/>
          <w:left w:val="single" w:color="auto" w:sz="4"/>
          <w:bottom w:val="single" w:color="auto" w:sz="4"/>
          <w:right w:val="single" w:color="auto" w:sz="4"/>
          <w:insideH w:val="single" w:color="auto" w:sz="4"/>
          <w:insideV w:val="single" w:color="auto" w:sz="4"/>
        </w:tblBorders>
      </w:tblPr>
      <w:tblGrid>
        <w:gridCol w:w="3400"/>
        <w:gridCol w:w="2400"/>
      </w:tblGrid>
      <w:tr>
        <w:tc>
          <w:tcPr>
            <w:tcW w:type="dxa" w:w="34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b w:val="false"/>
                <w:bCs w:val="false"/>
                <w:sz w:val="20"/>
                <w:szCs w:val="20"/>
              </w:rPr>
              <w:t xml:space="preserve">Synchronous class sessions</w:t>
            </w:r>
          </w:p>
        </w:tc>
        <w:tc>
          <w:tcPr>
            <w:tcW w:type="dxa" w:w="24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b w:val="false"/>
                <w:bCs w:val="false"/>
                <w:sz w:val="20"/>
                <w:szCs w:val="20"/>
              </w:rPr>
              <w:t xml:space="preserve">51 h (28 sessions × 1.83 h)</w:t>
            </w:r>
          </w:p>
        </w:tc>
      </w:tr>
      <w:tr>
        <w:tc>
          <w:tcPr>
            <w:tcW w:type="dxa" w:w="34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b w:val="false"/>
                <w:bCs w:val="false"/>
                <w:sz w:val="20"/>
                <w:szCs w:val="20"/>
              </w:rPr>
              <w:t xml:space="preserve">Review of posted notes</w:t>
            </w:r>
          </w:p>
        </w:tc>
        <w:tc>
          <w:tcPr>
            <w:tcW w:type="dxa" w:w="24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b w:val="false"/>
                <w:bCs w:val="false"/>
                <w:sz w:val="20"/>
                <w:szCs w:val="20"/>
              </w:rPr>
              <w:t xml:space="preserve">30 h</w:t>
            </w:r>
          </w:p>
        </w:tc>
      </w:tr>
      <w:tr>
        <w:tc>
          <w:tcPr>
            <w:tcW w:type="dxa" w:w="34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b w:val="false"/>
                <w:bCs w:val="false"/>
                <w:sz w:val="20"/>
                <w:szCs w:val="20"/>
              </w:rPr>
              <w:t xml:space="preserve">Project 1 — Automata Simulator</w:t>
            </w:r>
          </w:p>
        </w:tc>
        <w:tc>
          <w:tcPr>
            <w:tcW w:type="dxa" w:w="24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b w:val="false"/>
                <w:bCs w:val="false"/>
                <w:sz w:val="20"/>
                <w:szCs w:val="20"/>
              </w:rPr>
              <w:t xml:space="preserve">17 h</w:t>
            </w:r>
          </w:p>
        </w:tc>
      </w:tr>
      <w:tr>
        <w:tc>
          <w:tcPr>
            <w:tcW w:type="dxa" w:w="34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b w:val="false"/>
                <w:bCs w:val="false"/>
                <w:sz w:val="20"/>
                <w:szCs w:val="20"/>
              </w:rPr>
              <w:t xml:space="preserve">Project 2 — Grammars and Parsing</w:t>
            </w:r>
          </w:p>
        </w:tc>
        <w:tc>
          <w:tcPr>
            <w:tcW w:type="dxa" w:w="24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b w:val="false"/>
                <w:bCs w:val="false"/>
                <w:sz w:val="20"/>
                <w:szCs w:val="20"/>
              </w:rPr>
              <w:t xml:space="preserve">20 h</w:t>
            </w:r>
          </w:p>
        </w:tc>
      </w:tr>
      <w:tr>
        <w:tc>
          <w:tcPr>
            <w:tcW w:type="dxa" w:w="34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b w:val="false"/>
                <w:bCs w:val="false"/>
                <w:sz w:val="20"/>
                <w:szCs w:val="20"/>
              </w:rPr>
              <w:t xml:space="preserve">Project 3 — Turing Machine Workbench</w:t>
            </w:r>
          </w:p>
        </w:tc>
        <w:tc>
          <w:tcPr>
            <w:tcW w:type="dxa" w:w="24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b w:val="false"/>
                <w:bCs w:val="false"/>
                <w:sz w:val="20"/>
                <w:szCs w:val="20"/>
              </w:rPr>
              <w:t xml:space="preserve">20 h</w:t>
            </w:r>
          </w:p>
        </w:tc>
      </w:tr>
      <w:tr>
        <w:tc>
          <w:tcPr>
            <w:tcW w:type="dxa" w:w="34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b w:val="false"/>
                <w:bCs w:val="false"/>
                <w:sz w:val="20"/>
                <w:szCs w:val="20"/>
              </w:rPr>
              <w:t xml:space="preserve">Project 4 — Capstone and presentation</w:t>
            </w:r>
          </w:p>
        </w:tc>
        <w:tc>
          <w:tcPr>
            <w:tcW w:type="dxa" w:w="24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b w:val="false"/>
                <w:bCs w:val="false"/>
                <w:sz w:val="20"/>
                <w:szCs w:val="20"/>
              </w:rPr>
              <w:t xml:space="preserve">22 h</w:t>
            </w:r>
          </w:p>
        </w:tc>
      </w:tr>
      <w:tr>
        <w:tc>
          <w:tcPr>
            <w:tcW w:type="dxa" w:w="3400"/>
            <w:tcBorders>
              <w:top w:val="single" w:color="000000" w:sz="4"/>
              <w:left w:val="single" w:color="000000" w:sz="4"/>
              <w:bottom w:val="single" w:color="000000" w:sz="4"/>
              <w:right w:val="single" w:color="000000" w:sz="4"/>
            </w:tcBorders>
            <w:shd w:fill="EDEDED" w:color="auto" w:val="clear"/>
            <w:tcMar>
              <w:top w:type="dxa" w:w="60"/>
              <w:left w:type="dxa" w:w="100"/>
              <w:bottom w:type="dxa" w:w="60"/>
              <w:right w:type="dxa" w:w="100"/>
            </w:tcMar>
            <w:vAlign w:val="top"/>
          </w:tcPr>
          <w:p>
            <w:pPr>
              <w:spacing w:after="0" w:before="0" w:line="276"/>
            </w:pPr>
            <w:r>
              <w:rPr>
                <w:rFonts w:ascii="Times New Roman" w:cs="Times New Roman" w:eastAsia="Times New Roman" w:hAnsi="Times New Roman"/>
                <w:b/>
                <w:bCs/>
                <w:sz w:val="20"/>
                <w:szCs w:val="20"/>
              </w:rPr>
              <w:t xml:space="preserve">Total</w:t>
            </w:r>
          </w:p>
        </w:tc>
        <w:tc>
          <w:tcPr>
            <w:tcW w:type="dxa" w:w="2400"/>
            <w:tcBorders>
              <w:top w:val="single" w:color="000000" w:sz="4"/>
              <w:left w:val="single" w:color="000000" w:sz="4"/>
              <w:bottom w:val="single" w:color="000000" w:sz="4"/>
              <w:right w:val="single" w:color="000000" w:sz="4"/>
            </w:tcBorders>
            <w:shd w:fill="EDEDED" w:color="auto" w:val="clear"/>
            <w:tcMar>
              <w:top w:type="dxa" w:w="60"/>
              <w:left w:type="dxa" w:w="100"/>
              <w:bottom w:type="dxa" w:w="60"/>
              <w:right w:type="dxa" w:w="100"/>
            </w:tcMar>
            <w:vAlign w:val="top"/>
          </w:tcPr>
          <w:p>
            <w:pPr>
              <w:spacing w:after="0" w:before="0" w:line="276"/>
            </w:pPr>
            <w:r>
              <w:rPr>
                <w:rFonts w:ascii="Times New Roman" w:cs="Times New Roman" w:eastAsia="Times New Roman" w:hAnsi="Times New Roman"/>
                <w:b/>
                <w:bCs/>
                <w:sz w:val="20"/>
                <w:szCs w:val="20"/>
              </w:rPr>
              <w:t xml:space="preserve">160 h</w:t>
            </w:r>
          </w:p>
        </w:tc>
      </w:tr>
    </w:tbl>
    <w:p>
      <w:pPr>
        <w:keepNext/>
        <w:spacing w:after="140" w:before="280" w:line="276"/>
      </w:pPr>
      <w:r>
        <w:rPr>
          <w:rFonts w:ascii="Times New Roman" w:cs="Times New Roman" w:eastAsia="Times New Roman" w:hAnsi="Times New Roman"/>
          <w:b/>
          <w:bCs/>
          <w:sz w:val="26"/>
          <w:szCs w:val="26"/>
        </w:rPr>
        <w:t xml:space="preserve">Course Policies</w:t>
      </w:r>
    </w:p>
    <w:p>
      <w:pPr>
        <w:pStyle w:val="ListParagraph"/>
        <w:numPr>
          <w:ilvl w:val="0"/>
          <w:numId w:val="1"/>
        </w:numPr>
        <w:spacing w:after="80" w:line="276"/>
      </w:pPr>
      <w:r>
        <w:rPr>
          <w:rFonts w:ascii="Times New Roman" w:cs="Times New Roman" w:eastAsia="Times New Roman" w:hAnsi="Times New Roman"/>
          <w:sz w:val="22"/>
          <w:szCs w:val="22"/>
        </w:rPr>
        <w:t xml:space="preserve">All class sessions are held live on Google Meet at the scheduled times. Students are expected to attend, to have their development environment running, and to be able to share their screen when demonstrating work.</w:t>
      </w:r>
    </w:p>
    <w:p>
      <w:pPr>
        <w:pStyle w:val="ListParagraph"/>
        <w:numPr>
          <w:ilvl w:val="0"/>
          <w:numId w:val="1"/>
        </w:numPr>
        <w:spacing w:after="80" w:line="276"/>
      </w:pPr>
      <w:r>
        <w:rPr>
          <w:rFonts w:ascii="Times New Roman" w:cs="Times New Roman" w:eastAsia="Times New Roman" w:hAnsi="Times New Roman"/>
          <w:sz w:val="22"/>
          <w:szCs w:val="22"/>
        </w:rPr>
        <w:t xml:space="preserve">Modes of communication for this course are Brightspace (lms.liu.edu) and email. Expect a reply within 24 hours.</w:t>
      </w:r>
    </w:p>
    <w:p>
      <w:pPr>
        <w:pStyle w:val="ListParagraph"/>
        <w:numPr>
          <w:ilvl w:val="0"/>
          <w:numId w:val="1"/>
        </w:numPr>
        <w:spacing w:after="80" w:line="276"/>
      </w:pPr>
      <w:r>
        <w:rPr>
          <w:rFonts w:ascii="Times New Roman" w:cs="Times New Roman" w:eastAsia="Times New Roman" w:hAnsi="Times New Roman"/>
          <w:sz w:val="22"/>
          <w:szCs w:val="22"/>
        </w:rPr>
        <w:t xml:space="preserve">Virtual office hours are held by appointment. Email the instructor to schedule; requests are accommodated within normal business hours wherever possible.</w:t>
      </w:r>
    </w:p>
    <w:p>
      <w:pPr>
        <w:pStyle w:val="ListParagraph"/>
        <w:numPr>
          <w:ilvl w:val="0"/>
          <w:numId w:val="1"/>
        </w:numPr>
        <w:spacing w:after="80" w:line="276"/>
      </w:pPr>
      <w:r>
        <w:rPr>
          <w:rFonts w:ascii="Times New Roman" w:cs="Times New Roman" w:eastAsia="Times New Roman" w:hAnsi="Times New Roman"/>
          <w:sz w:val="22"/>
          <w:szCs w:val="22"/>
        </w:rPr>
        <w:t xml:space="preserve">All course notes, examples, and project specifications are distributed through the course repository. Students are responsible for pulling the current version before each session.</w:t>
      </w:r>
    </w:p>
    <w:p>
      <w:pPr>
        <w:pStyle w:val="ListParagraph"/>
        <w:numPr>
          <w:ilvl w:val="0"/>
          <w:numId w:val="1"/>
        </w:numPr>
        <w:spacing w:after="80" w:line="276"/>
      </w:pPr>
      <w:r>
        <w:rPr>
          <w:rFonts w:ascii="Times New Roman" w:cs="Times New Roman" w:eastAsia="Times New Roman" w:hAnsi="Times New Roman"/>
          <w:sz w:val="22"/>
          <w:szCs w:val="22"/>
        </w:rPr>
        <w:t xml:space="preserve">Every project is submitted through Brightspace as a link to the student’s Git repository, together with the written report. Commit history is part of the evidence of individual work.</w:t>
      </w:r>
    </w:p>
    <w:p>
      <w:pPr>
        <w:pStyle w:val="ListParagraph"/>
        <w:numPr>
          <w:ilvl w:val="0"/>
          <w:numId w:val="1"/>
        </w:numPr>
        <w:spacing w:after="80" w:line="276"/>
      </w:pPr>
      <w:r>
        <w:rPr>
          <w:rFonts w:ascii="Times New Roman" w:cs="Times New Roman" w:eastAsia="Times New Roman" w:hAnsi="Times New Roman"/>
          <w:sz w:val="22"/>
          <w:szCs w:val="22"/>
        </w:rPr>
        <w:t xml:space="preserve">Late work is reduced by 10% per calendar day. Extensions for project deliverables are granted only for a documented medical or family emergency, and must be requested before the deadline by email to the instructor.</w:t>
      </w:r>
    </w:p>
    <w:p>
      <w:pPr>
        <w:pStyle w:val="ListParagraph"/>
        <w:numPr>
          <w:ilvl w:val="0"/>
          <w:numId w:val="1"/>
        </w:numPr>
        <w:spacing w:after="80" w:line="276"/>
      </w:pPr>
      <w:r>
        <w:rPr>
          <w:rFonts w:ascii="Times New Roman" w:cs="Times New Roman" w:eastAsia="Times New Roman" w:hAnsi="Times New Roman"/>
          <w:sz w:val="22"/>
          <w:szCs w:val="22"/>
        </w:rPr>
        <w:t xml:space="preserve">Projects are individual work unless a specification explicitly designates the project as a team deliverable. Students may discuss approaches with one another, but submitted code, models, and writing must be the student’s own.</w:t>
      </w:r>
    </w:p>
    <w:p>
      <w:pPr>
        <w:pStyle w:val="ListParagraph"/>
        <w:numPr>
          <w:ilvl w:val="0"/>
          <w:numId w:val="1"/>
        </w:numPr>
        <w:spacing w:after="80" w:line="276"/>
      </w:pPr>
      <w:r>
        <w:rPr>
          <w:rFonts w:ascii="Times New Roman" w:cs="Times New Roman" w:eastAsia="Times New Roman" w:hAnsi="Times New Roman"/>
          <w:sz w:val="22"/>
          <w:szCs w:val="22"/>
        </w:rPr>
        <w:t xml:space="preserve">Generative AI tools may be used as a learning aid and are treated the same as any other reference: any AI-assisted portion of a submission must be disclosed in the project report, and the student must be able to explain and defend every line of what they submit. Undisclosed use, or submitted work the student cannot explain, is handled under the Academic Integrity policy in the Appendix.</w:t>
      </w:r>
    </w:p>
    <w:p>
      <w:pPr>
        <w:pStyle w:val="ListParagraph"/>
        <w:numPr>
          <w:ilvl w:val="0"/>
          <w:numId w:val="1"/>
        </w:numPr>
        <w:spacing w:after="80" w:line="276"/>
      </w:pPr>
      <w:r>
        <w:rPr>
          <w:rFonts w:ascii="Times New Roman" w:cs="Times New Roman" w:eastAsia="Times New Roman" w:hAnsi="Times New Roman"/>
          <w:sz w:val="22"/>
          <w:szCs w:val="22"/>
        </w:rPr>
        <w:t xml:space="preserve">Recording of class sessions by students is not permitted without the instructor’s prior written consent.</w:t>
      </w:r>
    </w:p>
    <w:p>
      <w:pPr>
        <w:spacing w:after="140" w:before="320"/>
      </w:pPr>
      <w:r>
        <w:rPr>
          <w:rFonts w:ascii="Times New Roman" w:cs="Times New Roman" w:eastAsia="Times New Roman" w:hAnsi="Times New Roman"/>
          <w:b/>
          <w:bCs/>
          <w:sz w:val="30"/>
          <w:szCs w:val="30"/>
        </w:rPr>
        <w:t xml:space="preserve">Disclaimer:</w:t>
      </w:r>
    </w:p>
    <w:p>
      <w:pPr>
        <w:spacing w:after="120" w:before="0" w:line="276"/>
      </w:pPr>
      <w:r>
        <w:rPr>
          <w:rFonts w:ascii="Times New Roman" w:cs="Times New Roman" w:eastAsia="Times New Roman" w:hAnsi="Times New Roman"/>
          <w:b/>
          <w:bCs/>
          <w:i/>
          <w:iCs/>
          <w:sz w:val="22"/>
          <w:szCs w:val="22"/>
        </w:rPr>
        <w:t xml:space="preserve">The syllabus is a tentative schedule and the instructor reserves the right to make any changes to fulfill the objectives of the courses and meet students’ needs.</w:t>
      </w:r>
    </w:p>
    <w:p>
      <w:pPr>
        <w:pageBreakBefore/>
        <w:spacing w:after="160"/>
      </w:pPr>
      <w:r>
        <w:rPr>
          <w:rFonts w:ascii="Times New Roman" w:cs="Times New Roman" w:eastAsia="Times New Roman" w:hAnsi="Times New Roman"/>
          <w:b/>
          <w:bCs/>
          <w:sz w:val="32"/>
          <w:szCs w:val="32"/>
        </w:rPr>
        <w:t xml:space="preserve">Appendix</w:t>
      </w:r>
    </w:p>
    <w:p>
      <w:pPr>
        <w:keepNext/>
        <w:spacing w:after="140" w:before="280" w:line="276"/>
      </w:pPr>
      <w:r>
        <w:rPr>
          <w:rFonts w:ascii="Times New Roman" w:cs="Times New Roman" w:eastAsia="Times New Roman" w:hAnsi="Times New Roman"/>
          <w:b/>
          <w:bCs/>
          <w:sz w:val="26"/>
          <w:szCs w:val="26"/>
        </w:rPr>
        <w:t xml:space="preserve">Academic Integrity</w:t>
      </w:r>
    </w:p>
    <w:p>
      <w:pPr>
        <w:spacing w:after="120" w:before="0" w:line="276"/>
      </w:pPr>
      <w:r>
        <w:rPr>
          <w:rFonts w:ascii="Times New Roman" w:cs="Times New Roman" w:eastAsia="Times New Roman" w:hAnsi="Times New Roman"/>
          <w:sz w:val="22"/>
          <w:szCs w:val="22"/>
        </w:rPr>
        <w:t xml:space="preserve">Academic dishonesty is unacceptable and will not be tolerated. Cheating, forgery, plagiarism and collusion in dishonest acts undermine the educational mission of Long Island University and the students' personal and intellectual growth. Policies and resources related to plagiarism can be found at: </w:t>
      </w:r>
      <w:hyperlink w:history="1" r:id="rIdkeeoeibqacwcaw5cgsqx3">
        <w:r>
          <w:rPr>
            <w:rStyle w:val="Hyperlink"/>
            <w:rFonts w:ascii="Times New Roman" w:cs="Times New Roman" w:eastAsia="Times New Roman" w:hAnsi="Times New Roman"/>
            <w:color w:val="0563C1"/>
            <w:sz w:val="22"/>
            <w:szCs w:val="22"/>
            <w:u w:val="single"/>
          </w:rPr>
          <w:t xml:space="preserve">http://liu.brooklyn.libguides.com/avoid-detect-plagiarism</w:t>
        </w:r>
      </w:hyperlink>
      <w:r>
        <w:rPr>
          <w:rFonts w:ascii="Times New Roman" w:cs="Times New Roman" w:eastAsia="Times New Roman" w:hAnsi="Times New Roman"/>
          <w:sz w:val="22"/>
          <w:szCs w:val="22"/>
        </w:rPr>
        <w:t xml:space="preserve">. University academic policies can be found in the current course bulletin, located here: </w:t>
      </w:r>
      <w:hyperlink w:history="1" r:id="rIdzp8rgc_cr_w6bwdoao2hu">
        <w:r>
          <w:rPr>
            <w:rStyle w:val="Hyperlink"/>
            <w:rFonts w:ascii="Times New Roman" w:cs="Times New Roman" w:eastAsia="Times New Roman" w:hAnsi="Times New Roman"/>
            <w:color w:val="0563C1"/>
            <w:sz w:val="22"/>
            <w:szCs w:val="22"/>
            <w:u w:val="single"/>
          </w:rPr>
          <w:t xml:space="preserve">http://www.liu.edu/Brooklyn/Enrollment-Services/Registration/Academic-Bulletins</w:t>
        </w:r>
      </w:hyperlink>
      <w:r>
        <w:rPr>
          <w:rFonts w:ascii="Times New Roman" w:cs="Times New Roman" w:eastAsia="Times New Roman" w:hAnsi="Times New Roman"/>
          <w:sz w:val="22"/>
          <w:szCs w:val="22"/>
        </w:rPr>
        <w:t xml:space="preserve">.</w:t>
      </w:r>
    </w:p>
    <w:p>
      <w:pPr>
        <w:keepNext/>
        <w:spacing w:after="140" w:before="280" w:line="276"/>
      </w:pPr>
      <w:r>
        <w:rPr>
          <w:rFonts w:ascii="Times New Roman" w:cs="Times New Roman" w:eastAsia="Times New Roman" w:hAnsi="Times New Roman"/>
          <w:b/>
          <w:bCs/>
          <w:sz w:val="26"/>
          <w:szCs w:val="26"/>
        </w:rPr>
        <w:t xml:space="preserve">Copyright and Intellectual Property</w:t>
      </w:r>
    </w:p>
    <w:p>
      <w:pPr>
        <w:spacing w:after="120" w:before="0" w:line="276"/>
      </w:pPr>
      <w:r>
        <w:rPr>
          <w:rFonts w:ascii="Times New Roman" w:cs="Times New Roman" w:eastAsia="Times New Roman" w:hAnsi="Times New Roman"/>
          <w:sz w:val="22"/>
          <w:szCs w:val="22"/>
        </w:rPr>
        <w:t xml:space="preserve">Students are advised not to make copies or take digital pictures of paid and copyrighted cases, textbooks, chapters, or any other material that is copyrighted without permission of the publisher or the owner.</w:t>
      </w:r>
    </w:p>
    <w:p>
      <w:pPr>
        <w:keepNext/>
        <w:spacing w:after="140" w:before="280" w:line="276"/>
      </w:pPr>
      <w:r>
        <w:rPr>
          <w:rFonts w:ascii="Times New Roman" w:cs="Times New Roman" w:eastAsia="Times New Roman" w:hAnsi="Times New Roman"/>
          <w:b/>
          <w:bCs/>
          <w:sz w:val="26"/>
          <w:szCs w:val="26"/>
        </w:rPr>
        <w:t xml:space="preserve">Anti-Harassment</w:t>
      </w:r>
    </w:p>
    <w:p>
      <w:pPr>
        <w:spacing w:after="120" w:before="0" w:line="276"/>
      </w:pPr>
      <w:r>
        <w:rPr>
          <w:rFonts w:ascii="Times New Roman" w:cs="Times New Roman" w:eastAsia="Times New Roman" w:hAnsi="Times New Roman"/>
          <w:sz w:val="22"/>
          <w:szCs w:val="22"/>
        </w:rPr>
        <w:t xml:space="preserve">LIU Brooklyn is committed to maintaining a learning and working environment that is free of bias, prejudice, discrimination and harassment. Its anti-harassment/discrimination policy and complaint procedure can be accessed here: </w:t>
      </w:r>
      <w:hyperlink w:history="1" r:id="rIdw1jsnsan5or37osrndloj">
        <w:r>
          <w:rPr>
            <w:rStyle w:val="Hyperlink"/>
            <w:rFonts w:ascii="Times New Roman" w:cs="Times New Roman" w:eastAsia="Times New Roman" w:hAnsi="Times New Roman"/>
            <w:color w:val="0563C1"/>
            <w:sz w:val="22"/>
            <w:szCs w:val="22"/>
            <w:u w:val="single"/>
          </w:rPr>
          <w:t xml:space="preserve">https://www.liu.edu/Human-Resources/Human-Resources-Policies/Anti-Harassment-Discrimination-Policy</w:t>
        </w:r>
      </w:hyperlink>
    </w:p>
    <w:p>
      <w:pPr>
        <w:keepNext/>
        <w:spacing w:after="140" w:before="280" w:line="276"/>
      </w:pPr>
      <w:r>
        <w:rPr>
          <w:rFonts w:ascii="Times New Roman" w:cs="Times New Roman" w:eastAsia="Times New Roman" w:hAnsi="Times New Roman"/>
          <w:b/>
          <w:bCs/>
          <w:sz w:val="26"/>
          <w:szCs w:val="26"/>
        </w:rPr>
        <w:t xml:space="preserve">Student Support Services</w:t>
      </w:r>
    </w:p>
    <w:p>
      <w:pPr>
        <w:spacing w:after="120" w:before="0" w:line="276"/>
      </w:pPr>
      <w:r>
        <w:rPr>
          <w:rFonts w:ascii="Times New Roman" w:cs="Times New Roman" w:eastAsia="Times New Roman" w:hAnsi="Times New Roman"/>
          <w:sz w:val="22"/>
          <w:szCs w:val="22"/>
        </w:rPr>
        <w:t xml:space="preserve">Student support services could be found by following these links:</w:t>
      </w:r>
    </w:p>
    <w:p>
      <w:pPr>
        <w:spacing w:after="60" w:before="0" w:line="276"/>
      </w:pPr>
      <w:hyperlink w:history="1" r:id="rIdyektzyw89wkd7i9fwbdzl">
        <w:r>
          <w:rPr>
            <w:rStyle w:val="Hyperlink"/>
            <w:rFonts w:ascii="Times New Roman" w:cs="Times New Roman" w:eastAsia="Times New Roman" w:hAnsi="Times New Roman"/>
            <w:color w:val="0563C1"/>
            <w:sz w:val="22"/>
            <w:szCs w:val="22"/>
            <w:u w:val="single"/>
          </w:rPr>
          <w:t xml:space="preserve">Enrollment Services</w:t>
        </w:r>
      </w:hyperlink>
    </w:p>
    <w:p>
      <w:pPr>
        <w:spacing w:after="60" w:before="0" w:line="276"/>
      </w:pPr>
      <w:hyperlink w:history="1" r:id="rIdpmcvhqo1chhr6qrtqeytv">
        <w:r>
          <w:rPr>
            <w:rStyle w:val="Hyperlink"/>
            <w:rFonts w:ascii="Times New Roman" w:cs="Times New Roman" w:eastAsia="Times New Roman" w:hAnsi="Times New Roman"/>
            <w:color w:val="0563C1"/>
            <w:sz w:val="22"/>
            <w:szCs w:val="22"/>
            <w:u w:val="single"/>
          </w:rPr>
          <w:t xml:space="preserve">Writing Center</w:t>
        </w:r>
      </w:hyperlink>
    </w:p>
    <w:p>
      <w:pPr>
        <w:spacing w:after="60" w:before="0" w:line="276"/>
      </w:pPr>
      <w:hyperlink w:history="1" r:id="rIdxxufaar0loncchhk-7pmt">
        <w:r>
          <w:rPr>
            <w:rStyle w:val="Hyperlink"/>
            <w:rFonts w:ascii="Times New Roman" w:cs="Times New Roman" w:eastAsia="Times New Roman" w:hAnsi="Times New Roman"/>
            <w:color w:val="0563C1"/>
            <w:sz w:val="22"/>
            <w:szCs w:val="22"/>
            <w:u w:val="single"/>
          </w:rPr>
          <w:t xml:space="preserve">Learning Communities</w:t>
        </w:r>
      </w:hyperlink>
    </w:p>
    <w:p>
      <w:pPr>
        <w:keepNext/>
        <w:spacing w:after="140" w:before="280" w:line="276"/>
      </w:pPr>
      <w:r>
        <w:rPr>
          <w:rFonts w:ascii="Times New Roman" w:cs="Times New Roman" w:eastAsia="Times New Roman" w:hAnsi="Times New Roman"/>
          <w:b/>
          <w:bCs/>
          <w:sz w:val="26"/>
          <w:szCs w:val="26"/>
        </w:rPr>
        <w:t xml:space="preserve">Accommodations for Students with Disability/Special Needs</w:t>
      </w:r>
    </w:p>
    <w:p>
      <w:pPr>
        <w:spacing w:after="120" w:before="0" w:line="276"/>
      </w:pPr>
      <w:r>
        <w:rPr>
          <w:rFonts w:ascii="Times New Roman" w:cs="Times New Roman" w:eastAsia="Times New Roman" w:hAnsi="Times New Roman"/>
          <w:sz w:val="22"/>
          <w:szCs w:val="22"/>
        </w:rPr>
        <w:t xml:space="preserve">In accordance with Section 504 of the Rehabilitation Act of 1973 and the Americans with Disabilities Act of 1990, including changes made by the Americans with Disabilities Amendments Act of 2008, the Long Island University does not discriminate against qualified individuals with disabilities. If you are a student with a documented disability/impairment (Psychological, Neurological, Chronic Medical, Learning Disability, Sensory, Physical) and require reasonable accommodations, please provide me with an Accommodation Letter from Student Support Services (see below for contact information).</w:t>
      </w:r>
    </w:p>
    <w:p>
      <w:pPr>
        <w:spacing w:after="40" w:before="0" w:line="276"/>
      </w:pPr>
      <w:r>
        <w:rPr>
          <w:rFonts w:ascii="Times New Roman" w:cs="Times New Roman" w:eastAsia="Times New Roman" w:hAnsi="Times New Roman"/>
          <w:sz w:val="22"/>
          <w:szCs w:val="22"/>
        </w:rPr>
        <w:t xml:space="preserve">Location: Sloan Building – 1st Floor</w:t>
      </w:r>
    </w:p>
    <w:p>
      <w:pPr>
        <w:spacing w:after="40" w:before="0" w:line="276"/>
      </w:pPr>
      <w:r>
        <w:rPr>
          <w:rFonts w:ascii="Times New Roman" w:cs="Times New Roman" w:eastAsia="Times New Roman" w:hAnsi="Times New Roman"/>
          <w:sz w:val="22"/>
          <w:szCs w:val="22"/>
        </w:rPr>
        <w:t xml:space="preserve">Contact Number: (718) 488-1044</w:t>
      </w:r>
    </w:p>
    <w:p>
      <w:pPr>
        <w:spacing w:after="40" w:before="0" w:line="276"/>
      </w:pPr>
      <w:r>
        <w:rPr>
          <w:rFonts w:ascii="Times New Roman" w:cs="Times New Roman" w:eastAsia="Times New Roman" w:hAnsi="Times New Roman"/>
          <w:sz w:val="22"/>
          <w:szCs w:val="22"/>
        </w:rPr>
        <w:t xml:space="preserve">Hours of operation: Monday – Friday 9am-5pm</w:t>
      </w:r>
    </w:p>
    <w:p>
      <w:pPr>
        <w:spacing w:after="120" w:before="0" w:line="276"/>
      </w:pPr>
      <w:r>
        <w:rPr>
          <w:rFonts w:ascii="Times New Roman" w:cs="Times New Roman" w:eastAsia="Times New Roman" w:hAnsi="Times New Roman"/>
          <w:sz w:val="22"/>
          <w:szCs w:val="22"/>
        </w:rPr>
        <w:t xml:space="preserve">Email address: </w:t>
      </w:r>
      <w:hyperlink w:history="1" r:id="rIdmnq-6iyffwr-jtkybov09">
        <w:r>
          <w:rPr>
            <w:rStyle w:val="Hyperlink"/>
            <w:rFonts w:ascii="Times New Roman" w:cs="Times New Roman" w:eastAsia="Times New Roman" w:hAnsi="Times New Roman"/>
            <w:color w:val="0563C1"/>
            <w:sz w:val="22"/>
            <w:szCs w:val="22"/>
            <w:u w:val="single"/>
          </w:rPr>
          <w:t xml:space="preserve">studentsupportservices@brooklyn.liu.edu</w:t>
        </w:r>
      </w:hyperlink>
    </w:p>
    <w:p>
      <w:pPr>
        <w:keepNext/>
        <w:spacing w:after="140" w:before="280" w:line="276"/>
      </w:pPr>
      <w:r>
        <w:rPr>
          <w:rFonts w:ascii="Times New Roman" w:cs="Times New Roman" w:eastAsia="Times New Roman" w:hAnsi="Times New Roman"/>
          <w:b/>
          <w:bCs/>
          <w:sz w:val="26"/>
          <w:szCs w:val="26"/>
        </w:rPr>
        <w:t xml:space="preserve">Student Grievance Procedure</w:t>
      </w:r>
    </w:p>
    <w:p>
      <w:pPr>
        <w:spacing w:after="120" w:before="0" w:line="276"/>
      </w:pPr>
      <w:r>
        <w:rPr>
          <w:rFonts w:ascii="Times New Roman" w:cs="Times New Roman" w:eastAsia="Times New Roman" w:hAnsi="Times New Roman"/>
          <w:sz w:val="22"/>
          <w:szCs w:val="22"/>
        </w:rPr>
        <w:t xml:space="preserve">The procedure for resolving student grievances is outlined in the Brooklyn Campus Undergraduate and Graduate Bulletins. Students are advised to adhere to the following steps:</w:t>
      </w:r>
    </w:p>
    <w:p>
      <w:pPr>
        <w:pStyle w:val="ListParagraph"/>
        <w:numPr>
          <w:ilvl w:val="0"/>
          <w:numId w:val="2"/>
        </w:numPr>
        <w:spacing w:after="80" w:line="276"/>
      </w:pPr>
      <w:r>
        <w:rPr>
          <w:rFonts w:ascii="Times New Roman" w:cs="Times New Roman" w:eastAsia="Times New Roman" w:hAnsi="Times New Roman"/>
          <w:sz w:val="22"/>
          <w:szCs w:val="22"/>
        </w:rPr>
        <w:t xml:space="preserve">Students must first speak directly with the involved instructor or student to resolve the problem.</w:t>
      </w:r>
    </w:p>
    <w:p>
      <w:pPr>
        <w:pStyle w:val="ListParagraph"/>
        <w:numPr>
          <w:ilvl w:val="0"/>
          <w:numId w:val="2"/>
        </w:numPr>
        <w:spacing w:after="80" w:line="276"/>
      </w:pPr>
      <w:r>
        <w:rPr>
          <w:rFonts w:ascii="Times New Roman" w:cs="Times New Roman" w:eastAsia="Times New Roman" w:hAnsi="Times New Roman"/>
          <w:sz w:val="22"/>
          <w:szCs w:val="22"/>
        </w:rPr>
        <w:t xml:space="preserve">If direct discussions fail, students may request a conference with their faculty advisor.</w:t>
      </w:r>
    </w:p>
    <w:p>
      <w:pPr>
        <w:pStyle w:val="ListParagraph"/>
        <w:numPr>
          <w:ilvl w:val="0"/>
          <w:numId w:val="2"/>
        </w:numPr>
        <w:spacing w:after="80" w:line="276"/>
      </w:pPr>
      <w:r>
        <w:rPr>
          <w:rFonts w:ascii="Times New Roman" w:cs="Times New Roman" w:eastAsia="Times New Roman" w:hAnsi="Times New Roman"/>
          <w:sz w:val="22"/>
          <w:szCs w:val="22"/>
        </w:rPr>
        <w:t xml:space="preserve">If step 2 is not successful in resolving the problem, students may request a conference with the Program Director/Department Chair.</w:t>
      </w:r>
    </w:p>
    <w:p>
      <w:pPr>
        <w:pStyle w:val="ListParagraph"/>
        <w:numPr>
          <w:ilvl w:val="0"/>
          <w:numId w:val="2"/>
        </w:numPr>
        <w:spacing w:after="80" w:line="276"/>
      </w:pPr>
      <w:r>
        <w:rPr>
          <w:rFonts w:ascii="Times New Roman" w:cs="Times New Roman" w:eastAsia="Times New Roman" w:hAnsi="Times New Roman"/>
          <w:sz w:val="22"/>
          <w:szCs w:val="22"/>
        </w:rPr>
        <w:t xml:space="preserve">If step 3 is not successful, students may submit a written request to discuss the matter with the Assistant Dean/Dean.</w:t>
      </w:r>
    </w:p>
    <w:p>
      <w:pPr>
        <w:keepNext/>
        <w:spacing w:after="140" w:before="280" w:line="276"/>
      </w:pPr>
      <w:r>
        <w:rPr>
          <w:rFonts w:ascii="Times New Roman" w:cs="Times New Roman" w:eastAsia="Times New Roman" w:hAnsi="Times New Roman"/>
          <w:b/>
          <w:bCs/>
          <w:sz w:val="26"/>
          <w:szCs w:val="26"/>
        </w:rPr>
        <w:t xml:space="preserve">Cancellation of Classes</w:t>
      </w:r>
    </w:p>
    <w:p>
      <w:pPr>
        <w:spacing w:after="120" w:before="0" w:line="276"/>
      </w:pPr>
      <w:r>
        <w:rPr>
          <w:rFonts w:ascii="Times New Roman" w:cs="Times New Roman" w:eastAsia="Times New Roman" w:hAnsi="Times New Roman"/>
          <w:sz w:val="22"/>
          <w:szCs w:val="22"/>
        </w:rPr>
        <w:t xml:space="preserve">In case of extremely bad weather, emergency or serious incident(s), students are encouraged to check the university website, course specific announcements, and/or LIU Safe App. Alternatively, one may call Campus Security at (718) 488-1071 to determine if the entire campus is closed.</w:t>
      </w:r>
    </w:p>
    <w:p>
      <w:pPr>
        <w:keepNext/>
        <w:spacing w:after="140" w:before="280" w:line="276"/>
      </w:pPr>
      <w:r>
        <w:rPr>
          <w:rFonts w:ascii="Times New Roman" w:cs="Times New Roman" w:eastAsia="Times New Roman" w:hAnsi="Times New Roman"/>
          <w:b/>
          <w:bCs/>
          <w:sz w:val="26"/>
          <w:szCs w:val="26"/>
        </w:rPr>
        <w:t xml:space="preserve">Student Affairs</w:t>
      </w:r>
    </w:p>
    <w:p>
      <w:pPr>
        <w:spacing w:after="120" w:before="0" w:line="276"/>
      </w:pPr>
      <w:r>
        <w:rPr>
          <w:rFonts w:ascii="Times New Roman" w:cs="Times New Roman" w:eastAsia="Times New Roman" w:hAnsi="Times New Roman"/>
          <w:sz w:val="22"/>
          <w:szCs w:val="22"/>
        </w:rPr>
        <w:t xml:space="preserve">For any questions regarding online accommodation and academic affairs, contact student affairs at: </w:t>
      </w:r>
      <w:hyperlink w:history="1" r:id="rIdc49evhefovc97a5c4wbrn">
        <w:r>
          <w:rPr>
            <w:rStyle w:val="Hyperlink"/>
            <w:rFonts w:ascii="Times New Roman" w:cs="Times New Roman" w:eastAsia="Times New Roman" w:hAnsi="Times New Roman"/>
            <w:color w:val="0563C1"/>
            <w:sz w:val="22"/>
            <w:szCs w:val="22"/>
            <w:u w:val="single"/>
          </w:rPr>
          <w:t xml:space="preserve">studentaffairs@liu.edu</w:t>
        </w:r>
      </w:hyperlink>
    </w:p>
    <w:p>
      <w:pPr>
        <w:keepNext/>
        <w:spacing w:after="140" w:before="280" w:line="276"/>
      </w:pPr>
      <w:r>
        <w:rPr>
          <w:rFonts w:ascii="Times New Roman" w:cs="Times New Roman" w:eastAsia="Times New Roman" w:hAnsi="Times New Roman"/>
          <w:b/>
          <w:bCs/>
          <w:sz w:val="26"/>
          <w:szCs w:val="26"/>
        </w:rPr>
        <w:t xml:space="preserve">Technical issues</w:t>
      </w:r>
    </w:p>
    <w:p>
      <w:pPr>
        <w:spacing w:after="120" w:before="0" w:line="276"/>
      </w:pPr>
      <w:r>
        <w:rPr>
          <w:rFonts w:ascii="Times New Roman" w:cs="Times New Roman" w:eastAsia="Times New Roman" w:hAnsi="Times New Roman"/>
          <w:sz w:val="22"/>
          <w:szCs w:val="22"/>
        </w:rPr>
        <w:t xml:space="preserve">For any technical issues related to Brightspace (lms.liu.edu), LIU emails, Google Meet, or campus network access, contact IT as follows:</w:t>
      </w:r>
    </w:p>
    <w:p>
      <w:pPr>
        <w:spacing w:after="40" w:before="0" w:line="276"/>
      </w:pPr>
      <w:r>
        <w:rPr>
          <w:rFonts w:ascii="Times New Roman" w:cs="Times New Roman" w:eastAsia="Times New Roman" w:hAnsi="Times New Roman"/>
          <w:sz w:val="22"/>
          <w:szCs w:val="22"/>
        </w:rPr>
        <w:t xml:space="preserve">Email: </w:t>
      </w:r>
      <w:hyperlink w:history="1" r:id="rIdkcogv_b71u-vktcpfcn2j">
        <w:r>
          <w:rPr>
            <w:rStyle w:val="Hyperlink"/>
            <w:rFonts w:ascii="Times New Roman" w:cs="Times New Roman" w:eastAsia="Times New Roman" w:hAnsi="Times New Roman"/>
            <w:color w:val="0563C1"/>
            <w:sz w:val="22"/>
            <w:szCs w:val="22"/>
            <w:u w:val="single"/>
          </w:rPr>
          <w:t xml:space="preserve">It@liu.edu</w:t>
        </w:r>
      </w:hyperlink>
    </w:p>
    <w:p>
      <w:pPr>
        <w:spacing w:after="120" w:before="0" w:line="276"/>
      </w:pPr>
      <w:r>
        <w:rPr>
          <w:rFonts w:ascii="Times New Roman" w:cs="Times New Roman" w:eastAsia="Times New Roman" w:hAnsi="Times New Roman"/>
          <w:sz w:val="22"/>
          <w:szCs w:val="22"/>
        </w:rPr>
        <w:t xml:space="preserve">Phone: 718-488-3300 (Monday-Friday 9am to 5pm)</w:t>
      </w:r>
    </w:p>
    <w:p>
      <w:pPr>
        <w:keepNext/>
        <w:spacing w:after="140" w:before="280" w:line="276"/>
      </w:pPr>
      <w:r>
        <w:rPr>
          <w:rFonts w:ascii="Times New Roman" w:cs="Times New Roman" w:eastAsia="Times New Roman" w:hAnsi="Times New Roman"/>
          <w:b/>
          <w:bCs/>
          <w:sz w:val="26"/>
          <w:szCs w:val="26"/>
        </w:rPr>
        <w:t xml:space="preserve">Safety Issues</w:t>
      </w:r>
    </w:p>
    <w:p>
      <w:pPr>
        <w:spacing w:after="120" w:before="0" w:line="276"/>
      </w:pPr>
      <w:r>
        <w:rPr>
          <w:rFonts w:ascii="Times New Roman" w:cs="Times New Roman" w:eastAsia="Times New Roman" w:hAnsi="Times New Roman"/>
          <w:sz w:val="22"/>
          <w:szCs w:val="22"/>
        </w:rPr>
        <w:t xml:space="preserve">For safety issues, check the following link: </w:t>
      </w:r>
      <w:hyperlink w:history="1" r:id="rIdqj4cio_5zr44s65hjutji">
        <w:r>
          <w:rPr>
            <w:rStyle w:val="Hyperlink"/>
            <w:rFonts w:ascii="Times New Roman" w:cs="Times New Roman" w:eastAsia="Times New Roman" w:hAnsi="Times New Roman"/>
            <w:color w:val="0563C1"/>
            <w:sz w:val="22"/>
            <w:szCs w:val="22"/>
            <w:u w:val="single"/>
          </w:rPr>
          <w:t xml:space="preserve">https://www.liu.edu/brooklyn/public-safety</w:t>
        </w:r>
      </w:hyperlink>
    </w:p>
    <w:p>
      <w:pPr>
        <w:spacing w:after="120" w:before="0" w:line="276"/>
      </w:pPr>
      <w:r>
        <w:rPr>
          <w:rFonts w:ascii="Times New Roman" w:cs="Times New Roman" w:eastAsia="Times New Roman" w:hAnsi="Times New Roman"/>
          <w:sz w:val="22"/>
          <w:szCs w:val="22"/>
        </w:rPr>
        <w:t xml:space="preserve">Phone: 718-488-1078</w:t>
      </w:r>
    </w:p>
    <w:p>
      <w:pPr>
        <w:keepNext/>
        <w:spacing w:after="140" w:before="280" w:line="276"/>
      </w:pPr>
      <w:r>
        <w:rPr>
          <w:rFonts w:ascii="Times New Roman" w:cs="Times New Roman" w:eastAsia="Times New Roman" w:hAnsi="Times New Roman"/>
          <w:b/>
          <w:bCs/>
          <w:sz w:val="26"/>
          <w:szCs w:val="26"/>
        </w:rPr>
        <w:t xml:space="preserve">Grading Scale</w:t>
      </w:r>
    </w:p>
    <w:p>
      <w:pPr>
        <w:spacing w:after="120" w:before="0" w:line="276"/>
      </w:pPr>
      <w:r>
        <w:rPr>
          <w:rFonts w:ascii="Times New Roman" w:cs="Times New Roman" w:eastAsia="Times New Roman" w:hAnsi="Times New Roman"/>
          <w:sz w:val="22"/>
          <w:szCs w:val="22"/>
        </w:rPr>
        <w:t xml:space="preserve">Grades are distributed according to the following LIU grading scale.</w:t>
      </w:r>
    </w:p>
    <w:tbl>
      <w:tblPr>
        <w:tblW w:type="dxa" w:w="6500"/>
        <w:jc w:val="center"/>
        <w:tblBorders>
          <w:top w:val="single" w:color="auto" w:sz="4"/>
          <w:left w:val="single" w:color="auto" w:sz="4"/>
          <w:bottom w:val="single" w:color="auto" w:sz="4"/>
          <w:right w:val="single" w:color="auto" w:sz="4"/>
          <w:insideH w:val="single" w:color="auto" w:sz="4"/>
          <w:insideV w:val="single" w:color="auto" w:sz="4"/>
        </w:tblBorders>
      </w:tblPr>
      <w:tblGrid>
        <w:gridCol w:w="1800"/>
        <w:gridCol w:w="1500"/>
        <w:gridCol w:w="1400"/>
        <w:gridCol w:w="1800"/>
      </w:tblGrid>
      <w:tr>
        <w:tc>
          <w:tcPr>
            <w:tcW w:type="dxa" w:w="1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b/>
                <w:bCs/>
                <w:sz w:val="19"/>
                <w:szCs w:val="19"/>
              </w:rPr>
              <w:t xml:space="preserve">UNDERGRADUATE</w:t>
            </w:r>
          </w:p>
        </w:tc>
        <w:tc>
          <w:tcPr>
            <w:tcW w:type="dxa" w:w="1500"/>
            <w:tcBorders>
              <w:top w:val="none"/>
              <w:left w:val="single" w:color="000000" w:sz="4"/>
              <w:bottom w:val="single" w:color="000000" w:sz="4"/>
              <w:right w:val="none"/>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sz w:val="22"/>
                <w:szCs w:val="22"/>
              </w:rPr>
              <w:t xml:space="preserve"/>
            </w:r>
          </w:p>
        </w:tc>
        <w:tc>
          <w:tcPr>
            <w:tcW w:type="dxa" w:w="1400"/>
            <w:tcBorders>
              <w:top w:val="none"/>
              <w:left w:val="none"/>
              <w:bottom w:val="single" w:color="000000" w:sz="4"/>
              <w:right w:val="none"/>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sz w:val="22"/>
                <w:szCs w:val="22"/>
              </w:rPr>
              <w:t xml:space="preserve"/>
            </w:r>
          </w:p>
        </w:tc>
        <w:tc>
          <w:tcPr>
            <w:tcW w:type="dxa" w:w="1800"/>
            <w:tcBorders>
              <w:top w:val="none"/>
              <w:left w:val="none"/>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sz w:val="22"/>
                <w:szCs w:val="22"/>
              </w:rPr>
              <w:t xml:space="preserve"/>
            </w:r>
          </w:p>
        </w:tc>
      </w:tr>
      <w:tr>
        <w:trPr>
          <w:tblHeader/>
        </w:trPr>
        <w:tc>
          <w:tcPr>
            <w:tcW w:type="dxa" w:w="1800"/>
            <w:tcBorders>
              <w:top w:val="single" w:color="000000" w:sz="4"/>
              <w:left w:val="single" w:color="000000" w:sz="4"/>
              <w:bottom w:val="single" w:color="000000" w:sz="4"/>
              <w:right w:val="single" w:color="000000" w:sz="4"/>
            </w:tcBorders>
            <w:shd w:fill="233C5B" w:color="auto" w:val="clear"/>
            <w:tcMar>
              <w:top w:type="dxa" w:w="60"/>
              <w:left w:type="dxa" w:w="100"/>
              <w:bottom w:type="dxa" w:w="60"/>
              <w:right w:type="dxa" w:w="100"/>
            </w:tcMar>
            <w:vAlign w:val="top"/>
          </w:tcPr>
          <w:p>
            <w:pPr>
              <w:spacing w:after="0" w:before="0" w:line="276"/>
            </w:pPr>
            <w:r>
              <w:rPr>
                <w:rFonts w:ascii="Times New Roman" w:cs="Times New Roman" w:eastAsia="Times New Roman" w:hAnsi="Times New Roman"/>
                <w:b/>
                <w:bCs/>
                <w:color w:val="FFFFFF"/>
                <w:sz w:val="19"/>
                <w:szCs w:val="19"/>
              </w:rPr>
              <w:t xml:space="preserve">Quality</w:t>
            </w:r>
          </w:p>
        </w:tc>
        <w:tc>
          <w:tcPr>
            <w:tcW w:type="dxa" w:w="1500"/>
            <w:tcBorders>
              <w:top w:val="single" w:color="000000" w:sz="4"/>
              <w:left w:val="single" w:color="000000" w:sz="4"/>
              <w:bottom w:val="single" w:color="000000" w:sz="4"/>
              <w:right w:val="single" w:color="000000" w:sz="4"/>
            </w:tcBorders>
            <w:shd w:fill="233C5B" w:color="auto" w:val="clear"/>
            <w:tcMar>
              <w:top w:type="dxa" w:w="60"/>
              <w:left w:type="dxa" w:w="100"/>
              <w:bottom w:type="dxa" w:w="60"/>
              <w:right w:type="dxa" w:w="100"/>
            </w:tcMar>
            <w:vAlign w:val="top"/>
          </w:tcPr>
          <w:p>
            <w:pPr>
              <w:spacing w:after="0"/>
              <w:jc w:val="center"/>
            </w:pPr>
            <w:r>
              <w:rPr>
                <w:rFonts w:ascii="Times New Roman" w:cs="Times New Roman" w:eastAsia="Times New Roman" w:hAnsi="Times New Roman"/>
                <w:b/>
                <w:bCs/>
                <w:color w:val="FFFFFF"/>
                <w:sz w:val="19"/>
                <w:szCs w:val="19"/>
              </w:rPr>
              <w:t xml:space="preserve">Letter Grade</w:t>
            </w:r>
          </w:p>
        </w:tc>
        <w:tc>
          <w:tcPr>
            <w:tcW w:type="dxa" w:w="1400"/>
            <w:tcBorders>
              <w:top w:val="single" w:color="000000" w:sz="4"/>
              <w:left w:val="single" w:color="000000" w:sz="4"/>
              <w:bottom w:val="single" w:color="000000" w:sz="4"/>
              <w:right w:val="single" w:color="000000" w:sz="4"/>
            </w:tcBorders>
            <w:shd w:fill="233C5B" w:color="auto" w:val="clear"/>
            <w:tcMar>
              <w:top w:type="dxa" w:w="60"/>
              <w:left w:type="dxa" w:w="100"/>
              <w:bottom w:type="dxa" w:w="60"/>
              <w:right w:type="dxa" w:w="100"/>
            </w:tcMar>
            <w:vAlign w:val="top"/>
          </w:tcPr>
          <w:p>
            <w:pPr>
              <w:spacing w:after="0"/>
              <w:jc w:val="center"/>
            </w:pPr>
            <w:r>
              <w:rPr>
                <w:rFonts w:ascii="Times New Roman" w:cs="Times New Roman" w:eastAsia="Times New Roman" w:hAnsi="Times New Roman"/>
                <w:b/>
                <w:bCs/>
                <w:color w:val="FFFFFF"/>
                <w:sz w:val="19"/>
                <w:szCs w:val="19"/>
              </w:rPr>
              <w:t xml:space="preserve">Range %</w:t>
            </w:r>
          </w:p>
        </w:tc>
        <w:tc>
          <w:tcPr>
            <w:tcW w:type="dxa" w:w="1800"/>
            <w:tcBorders>
              <w:top w:val="single" w:color="000000" w:sz="4"/>
              <w:left w:val="single" w:color="000000" w:sz="4"/>
              <w:bottom w:val="single" w:color="000000" w:sz="4"/>
              <w:right w:val="single" w:color="000000" w:sz="4"/>
            </w:tcBorders>
            <w:shd w:fill="233C5B" w:color="auto" w:val="clear"/>
            <w:tcMar>
              <w:top w:type="dxa" w:w="60"/>
              <w:left w:type="dxa" w:w="100"/>
              <w:bottom w:type="dxa" w:w="60"/>
              <w:right w:type="dxa" w:w="100"/>
            </w:tcMar>
            <w:vAlign w:val="top"/>
          </w:tcPr>
          <w:p>
            <w:pPr>
              <w:spacing w:after="0"/>
              <w:jc w:val="center"/>
            </w:pPr>
            <w:r>
              <w:rPr>
                <w:rFonts w:ascii="Times New Roman" w:cs="Times New Roman" w:eastAsia="Times New Roman" w:hAnsi="Times New Roman"/>
                <w:b/>
                <w:bCs/>
                <w:color w:val="FFFFFF"/>
                <w:sz w:val="19"/>
                <w:szCs w:val="19"/>
              </w:rPr>
              <w:t xml:space="preserve">GPA/ Quality Pts.</w:t>
            </w:r>
          </w:p>
        </w:tc>
      </w:tr>
      <w:tr>
        <w:tc>
          <w:tcPr>
            <w:tcW w:type="dxa" w:w="1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Outstanding</w:t>
            </w:r>
          </w:p>
        </w:tc>
        <w:tc>
          <w:tcPr>
            <w:tcW w:type="dxa" w:w="15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A</w:t>
            </w:r>
          </w:p>
        </w:tc>
        <w:tc>
          <w:tcPr>
            <w:tcW w:type="dxa" w:w="14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93 - 100</w:t>
            </w:r>
          </w:p>
        </w:tc>
        <w:tc>
          <w:tcPr>
            <w:tcW w:type="dxa" w:w="1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4</w:t>
            </w:r>
          </w:p>
        </w:tc>
      </w:tr>
      <w:tr>
        <w:tc>
          <w:tcPr>
            <w:tcW w:type="dxa" w:w="1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Excellent</w:t>
            </w:r>
          </w:p>
        </w:tc>
        <w:tc>
          <w:tcPr>
            <w:tcW w:type="dxa" w:w="15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A-</w:t>
            </w:r>
          </w:p>
        </w:tc>
        <w:tc>
          <w:tcPr>
            <w:tcW w:type="dxa" w:w="14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90 - 92</w:t>
            </w:r>
          </w:p>
        </w:tc>
        <w:tc>
          <w:tcPr>
            <w:tcW w:type="dxa" w:w="1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3.67</w:t>
            </w:r>
          </w:p>
        </w:tc>
      </w:tr>
      <w:tr>
        <w:tc>
          <w:tcPr>
            <w:tcW w:type="dxa" w:w="1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Very Good</w:t>
            </w:r>
          </w:p>
        </w:tc>
        <w:tc>
          <w:tcPr>
            <w:tcW w:type="dxa" w:w="15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B+</w:t>
            </w:r>
          </w:p>
        </w:tc>
        <w:tc>
          <w:tcPr>
            <w:tcW w:type="dxa" w:w="14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87 - 89</w:t>
            </w:r>
          </w:p>
        </w:tc>
        <w:tc>
          <w:tcPr>
            <w:tcW w:type="dxa" w:w="1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3.33</w:t>
            </w:r>
          </w:p>
        </w:tc>
      </w:tr>
      <w:tr>
        <w:tc>
          <w:tcPr>
            <w:tcW w:type="dxa" w:w="1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Average</w:t>
            </w:r>
          </w:p>
        </w:tc>
        <w:tc>
          <w:tcPr>
            <w:tcW w:type="dxa" w:w="15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B</w:t>
            </w:r>
          </w:p>
        </w:tc>
        <w:tc>
          <w:tcPr>
            <w:tcW w:type="dxa" w:w="14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83 - 86</w:t>
            </w:r>
          </w:p>
        </w:tc>
        <w:tc>
          <w:tcPr>
            <w:tcW w:type="dxa" w:w="1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3</w:t>
            </w:r>
          </w:p>
        </w:tc>
      </w:tr>
      <w:tr>
        <w:tc>
          <w:tcPr>
            <w:tcW w:type="dxa" w:w="1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Nearly Average</w:t>
            </w:r>
          </w:p>
        </w:tc>
        <w:tc>
          <w:tcPr>
            <w:tcW w:type="dxa" w:w="15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B-</w:t>
            </w:r>
          </w:p>
        </w:tc>
        <w:tc>
          <w:tcPr>
            <w:tcW w:type="dxa" w:w="14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80 - 82</w:t>
            </w:r>
          </w:p>
        </w:tc>
        <w:tc>
          <w:tcPr>
            <w:tcW w:type="dxa" w:w="1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2.67</w:t>
            </w:r>
          </w:p>
        </w:tc>
      </w:tr>
      <w:tr>
        <w:tc>
          <w:tcPr>
            <w:tcW w:type="dxa" w:w="1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Below Average</w:t>
            </w:r>
          </w:p>
        </w:tc>
        <w:tc>
          <w:tcPr>
            <w:tcW w:type="dxa" w:w="15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C+</w:t>
            </w:r>
          </w:p>
        </w:tc>
        <w:tc>
          <w:tcPr>
            <w:tcW w:type="dxa" w:w="14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77 - 79</w:t>
            </w:r>
          </w:p>
        </w:tc>
        <w:tc>
          <w:tcPr>
            <w:tcW w:type="dxa" w:w="1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2.33</w:t>
            </w:r>
          </w:p>
        </w:tc>
      </w:tr>
      <w:tr>
        <w:tc>
          <w:tcPr>
            <w:tcW w:type="dxa" w:w="1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Marginal</w:t>
            </w:r>
          </w:p>
        </w:tc>
        <w:tc>
          <w:tcPr>
            <w:tcW w:type="dxa" w:w="15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C</w:t>
            </w:r>
          </w:p>
        </w:tc>
        <w:tc>
          <w:tcPr>
            <w:tcW w:type="dxa" w:w="14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73 - 76</w:t>
            </w:r>
          </w:p>
        </w:tc>
        <w:tc>
          <w:tcPr>
            <w:tcW w:type="dxa" w:w="1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2</w:t>
            </w:r>
          </w:p>
        </w:tc>
      </w:tr>
      <w:tr>
        <w:tc>
          <w:tcPr>
            <w:tcW w:type="dxa" w:w="1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Poor</w:t>
            </w:r>
          </w:p>
        </w:tc>
        <w:tc>
          <w:tcPr>
            <w:tcW w:type="dxa" w:w="15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C-</w:t>
            </w:r>
          </w:p>
        </w:tc>
        <w:tc>
          <w:tcPr>
            <w:tcW w:type="dxa" w:w="14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68 - 72</w:t>
            </w:r>
          </w:p>
        </w:tc>
        <w:tc>
          <w:tcPr>
            <w:tcW w:type="dxa" w:w="1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1.67</w:t>
            </w:r>
          </w:p>
        </w:tc>
      </w:tr>
      <w:tr>
        <w:tc>
          <w:tcPr>
            <w:tcW w:type="dxa" w:w="1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Unacceptable</w:t>
            </w:r>
          </w:p>
        </w:tc>
        <w:tc>
          <w:tcPr>
            <w:tcW w:type="dxa" w:w="15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D</w:t>
            </w:r>
          </w:p>
        </w:tc>
        <w:tc>
          <w:tcPr>
            <w:tcW w:type="dxa" w:w="14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60 - 67</w:t>
            </w:r>
          </w:p>
        </w:tc>
        <w:tc>
          <w:tcPr>
            <w:tcW w:type="dxa" w:w="1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1</w:t>
            </w:r>
          </w:p>
        </w:tc>
      </w:tr>
      <w:tr>
        <w:tc>
          <w:tcPr>
            <w:tcW w:type="dxa" w:w="1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Failing</w:t>
            </w:r>
          </w:p>
        </w:tc>
        <w:tc>
          <w:tcPr>
            <w:tcW w:type="dxa" w:w="15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F</w:t>
            </w:r>
          </w:p>
        </w:tc>
        <w:tc>
          <w:tcPr>
            <w:tcW w:type="dxa" w:w="14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&lt; 60</w:t>
            </w:r>
          </w:p>
        </w:tc>
        <w:tc>
          <w:tcPr>
            <w:tcW w:type="dxa" w:w="18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jc w:val="center"/>
            </w:pPr>
            <w:r>
              <w:rPr>
                <w:rFonts w:ascii="Times New Roman" w:cs="Times New Roman" w:eastAsia="Times New Roman" w:hAnsi="Times New Roman"/>
                <w:sz w:val="19"/>
                <w:szCs w:val="19"/>
              </w:rPr>
              <w:t xml:space="preserve">0</w:t>
            </w:r>
          </w:p>
        </w:tc>
      </w:tr>
    </w:tbl>
    <w:p>
      <w:pPr>
        <w:keepNext/>
        <w:spacing w:after="140" w:before="280" w:line="276"/>
      </w:pPr>
      <w:r>
        <w:rPr>
          <w:rFonts w:ascii="Times New Roman" w:cs="Times New Roman" w:eastAsia="Times New Roman" w:hAnsi="Times New Roman"/>
          <w:b/>
          <w:bCs/>
          <w:sz w:val="26"/>
          <w:szCs w:val="26"/>
        </w:rPr>
        <w:t xml:space="preserve">Grading Rubrics</w:t>
      </w:r>
    </w:p>
    <w:p>
      <w:pPr>
        <w:spacing w:after="120" w:before="0" w:line="276"/>
      </w:pPr>
      <w:r>
        <w:rPr>
          <w:rFonts w:ascii="Times New Roman" w:cs="Times New Roman" w:eastAsia="Times New Roman" w:hAnsi="Times New Roman"/>
          <w:sz w:val="22"/>
          <w:szCs w:val="22"/>
        </w:rPr>
        <w:t xml:space="preserve">The following grading rubrics correspond to the four required projects. Each project rubric is released with its specification and is weighted as follows.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200"/>
        <w:gridCol w:w="1400"/>
        <w:gridCol w:w="3760"/>
      </w:tblGrid>
      <w:tr>
        <w:trPr>
          <w:tblHeader/>
        </w:trPr>
        <w:tc>
          <w:tcPr>
            <w:tcW w:type="dxa" w:w="4200"/>
            <w:tcBorders>
              <w:top w:val="single" w:color="000000" w:sz="4"/>
              <w:left w:val="single" w:color="000000" w:sz="4"/>
              <w:bottom w:val="single" w:color="000000" w:sz="4"/>
              <w:right w:val="single" w:color="000000" w:sz="4"/>
            </w:tcBorders>
            <w:shd w:fill="233C5B" w:color="auto" w:val="clear"/>
            <w:tcMar>
              <w:top w:type="dxa" w:w="60"/>
              <w:left w:type="dxa" w:w="100"/>
              <w:bottom w:type="dxa" w:w="60"/>
              <w:right w:type="dxa" w:w="100"/>
            </w:tcMar>
            <w:vAlign w:val="top"/>
          </w:tcPr>
          <w:p>
            <w:pPr>
              <w:spacing w:after="0" w:before="0" w:line="276"/>
            </w:pPr>
            <w:r>
              <w:rPr>
                <w:rFonts w:ascii="Times New Roman" w:cs="Times New Roman" w:eastAsia="Times New Roman" w:hAnsi="Times New Roman"/>
                <w:b/>
                <w:bCs/>
                <w:color w:val="FFFFFF"/>
                <w:sz w:val="20"/>
                <w:szCs w:val="20"/>
              </w:rPr>
              <w:t xml:space="preserve">Criterion</w:t>
            </w:r>
          </w:p>
        </w:tc>
        <w:tc>
          <w:tcPr>
            <w:tcW w:type="dxa" w:w="1400"/>
            <w:tcBorders>
              <w:top w:val="single" w:color="000000" w:sz="4"/>
              <w:left w:val="single" w:color="000000" w:sz="4"/>
              <w:bottom w:val="single" w:color="000000" w:sz="4"/>
              <w:right w:val="single" w:color="000000" w:sz="4"/>
            </w:tcBorders>
            <w:shd w:fill="233C5B" w:color="auto" w:val="clear"/>
            <w:tcMar>
              <w:top w:type="dxa" w:w="60"/>
              <w:left w:type="dxa" w:w="100"/>
              <w:bottom w:type="dxa" w:w="60"/>
              <w:right w:type="dxa" w:w="100"/>
            </w:tcMar>
            <w:vAlign w:val="top"/>
          </w:tcPr>
          <w:p>
            <w:pPr>
              <w:spacing w:after="0" w:before="0" w:line="276"/>
            </w:pPr>
            <w:r>
              <w:rPr>
                <w:rFonts w:ascii="Times New Roman" w:cs="Times New Roman" w:eastAsia="Times New Roman" w:hAnsi="Times New Roman"/>
                <w:b/>
                <w:bCs/>
                <w:color w:val="FFFFFF"/>
                <w:sz w:val="20"/>
                <w:szCs w:val="20"/>
              </w:rPr>
              <w:t xml:space="preserve">Weight</w:t>
            </w:r>
          </w:p>
        </w:tc>
        <w:tc>
          <w:tcPr>
            <w:tcW w:type="dxa" w:w="3760"/>
            <w:tcBorders>
              <w:top w:val="single" w:color="000000" w:sz="4"/>
              <w:left w:val="single" w:color="000000" w:sz="4"/>
              <w:bottom w:val="single" w:color="000000" w:sz="4"/>
              <w:right w:val="single" w:color="000000" w:sz="4"/>
            </w:tcBorders>
            <w:shd w:fill="233C5B" w:color="auto" w:val="clear"/>
            <w:tcMar>
              <w:top w:type="dxa" w:w="60"/>
              <w:left w:type="dxa" w:w="100"/>
              <w:bottom w:type="dxa" w:w="60"/>
              <w:right w:type="dxa" w:w="100"/>
            </w:tcMar>
            <w:vAlign w:val="top"/>
          </w:tcPr>
          <w:p>
            <w:pPr>
              <w:spacing w:after="0" w:before="0" w:line="276"/>
            </w:pPr>
            <w:r>
              <w:rPr>
                <w:rFonts w:ascii="Times New Roman" w:cs="Times New Roman" w:eastAsia="Times New Roman" w:hAnsi="Times New Roman"/>
                <w:b/>
                <w:bCs/>
                <w:color w:val="FFFFFF"/>
                <w:sz w:val="20"/>
                <w:szCs w:val="20"/>
              </w:rPr>
              <w:t xml:space="preserve">What is assessed</w:t>
            </w:r>
          </w:p>
        </w:tc>
      </w:tr>
      <w:tr>
        <w:tc>
          <w:tcPr>
            <w:tcW w:type="dxa" w:w="42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b w:val="false"/>
                <w:bCs w:val="false"/>
                <w:sz w:val="20"/>
                <w:szCs w:val="20"/>
              </w:rPr>
              <w:t xml:space="preserve">Correctness and completeness</w:t>
            </w:r>
          </w:p>
        </w:tc>
        <w:tc>
          <w:tcPr>
            <w:tcW w:type="dxa" w:w="14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b/>
                <w:bCs/>
                <w:sz w:val="20"/>
                <w:szCs w:val="20"/>
              </w:rPr>
              <w:t xml:space="preserve">35%</w:t>
            </w:r>
          </w:p>
        </w:tc>
        <w:tc>
          <w:tcPr>
            <w:tcW w:type="dxa" w:w="376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b w:val="false"/>
                <w:bCs w:val="false"/>
                <w:sz w:val="20"/>
                <w:szCs w:val="20"/>
              </w:rPr>
              <w:t xml:space="preserve">The artifact does what the specification requires, and the required cases are handled.</w:t>
            </w:r>
          </w:p>
        </w:tc>
      </w:tr>
      <w:tr>
        <w:tc>
          <w:tcPr>
            <w:tcW w:type="dxa" w:w="42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b w:val="false"/>
                <w:bCs w:val="false"/>
                <w:sz w:val="20"/>
                <w:szCs w:val="20"/>
              </w:rPr>
              <w:t xml:space="preserve">Implementation quality</w:t>
            </w:r>
          </w:p>
        </w:tc>
        <w:tc>
          <w:tcPr>
            <w:tcW w:type="dxa" w:w="14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b/>
                <w:bCs/>
                <w:sz w:val="20"/>
                <w:szCs w:val="20"/>
              </w:rPr>
              <w:t xml:space="preserve">20%</w:t>
            </w:r>
          </w:p>
        </w:tc>
        <w:tc>
          <w:tcPr>
            <w:tcW w:type="dxa" w:w="376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b w:val="false"/>
                <w:bCs w:val="false"/>
                <w:sz w:val="20"/>
                <w:szCs w:val="20"/>
              </w:rPr>
              <w:t xml:space="preserve">Structure, readability, and evidence of testing. Commit history shows sustained individual work.</w:t>
            </w:r>
          </w:p>
        </w:tc>
      </w:tr>
      <w:tr>
        <w:tc>
          <w:tcPr>
            <w:tcW w:type="dxa" w:w="42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b w:val="false"/>
                <w:bCs w:val="false"/>
                <w:sz w:val="20"/>
                <w:szCs w:val="20"/>
              </w:rPr>
              <w:t xml:space="preserve">Analysis and written report</w:t>
            </w:r>
          </w:p>
        </w:tc>
        <w:tc>
          <w:tcPr>
            <w:tcW w:type="dxa" w:w="14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b/>
                <w:bCs/>
                <w:sz w:val="20"/>
                <w:szCs w:val="20"/>
              </w:rPr>
              <w:t xml:space="preserve">25%</w:t>
            </w:r>
          </w:p>
        </w:tc>
        <w:tc>
          <w:tcPr>
            <w:tcW w:type="dxa" w:w="376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b w:val="false"/>
                <w:bCs w:val="false"/>
                <w:sz w:val="20"/>
                <w:szCs w:val="20"/>
              </w:rPr>
              <w:t xml:space="preserve">The report explains the design, justifies the decisions, and reports results honestly, including what did not work.</w:t>
            </w:r>
          </w:p>
        </w:tc>
      </w:tr>
      <w:tr>
        <w:tc>
          <w:tcPr>
            <w:tcW w:type="dxa" w:w="42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b w:val="false"/>
                <w:bCs w:val="false"/>
                <w:sz w:val="20"/>
                <w:szCs w:val="20"/>
              </w:rPr>
              <w:t xml:space="preserve">Demonstration and defense</w:t>
            </w:r>
          </w:p>
        </w:tc>
        <w:tc>
          <w:tcPr>
            <w:tcW w:type="dxa" w:w="140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b/>
                <w:bCs/>
                <w:sz w:val="20"/>
                <w:szCs w:val="20"/>
              </w:rPr>
              <w:t xml:space="preserve">20%</w:t>
            </w:r>
          </w:p>
        </w:tc>
        <w:tc>
          <w:tcPr>
            <w:tcW w:type="dxa" w:w="3760"/>
            <w:tcBorders>
              <w:top w:val="single" w:color="000000" w:sz="4"/>
              <w:left w:val="single" w:color="000000" w:sz="4"/>
              <w:bottom w:val="single" w:color="000000" w:sz="4"/>
              <w:right w:val="single" w:color="000000" w:sz="4"/>
            </w:tcBorders>
            <w:tcMar>
              <w:top w:type="dxa" w:w="60"/>
              <w:left w:type="dxa" w:w="100"/>
              <w:bottom w:type="dxa" w:w="60"/>
              <w:right w:type="dxa" w:w="100"/>
            </w:tcMar>
            <w:vAlign w:val="top"/>
          </w:tcPr>
          <w:p>
            <w:pPr>
              <w:spacing w:after="0" w:before="0" w:line="276"/>
            </w:pPr>
            <w:r>
              <w:rPr>
                <w:rFonts w:ascii="Times New Roman" w:cs="Times New Roman" w:eastAsia="Times New Roman" w:hAnsi="Times New Roman"/>
                <w:b w:val="false"/>
                <w:bCs w:val="false"/>
                <w:sz w:val="20"/>
                <w:szCs w:val="20"/>
              </w:rPr>
              <w:t xml:space="preserve">The student can run the artifact live and answer questions about any part of it.</w:t>
            </w:r>
          </w:p>
        </w:tc>
      </w:tr>
      <w:tr>
        <w:tc>
          <w:tcPr>
            <w:tcW w:type="dxa" w:w="4200"/>
            <w:tcBorders>
              <w:top w:val="single" w:color="000000" w:sz="4"/>
              <w:left w:val="single" w:color="000000" w:sz="4"/>
              <w:bottom w:val="single" w:color="000000" w:sz="4"/>
              <w:right w:val="single" w:color="000000" w:sz="4"/>
            </w:tcBorders>
            <w:shd w:fill="EDEDED" w:color="auto" w:val="clear"/>
            <w:tcMar>
              <w:top w:type="dxa" w:w="60"/>
              <w:left w:type="dxa" w:w="100"/>
              <w:bottom w:type="dxa" w:w="60"/>
              <w:right w:type="dxa" w:w="100"/>
            </w:tcMar>
            <w:vAlign w:val="top"/>
          </w:tcPr>
          <w:p>
            <w:pPr>
              <w:spacing w:after="0" w:before="0" w:line="276"/>
            </w:pPr>
            <w:r>
              <w:rPr>
                <w:rFonts w:ascii="Times New Roman" w:cs="Times New Roman" w:eastAsia="Times New Roman" w:hAnsi="Times New Roman"/>
                <w:b/>
                <w:bCs/>
                <w:sz w:val="20"/>
                <w:szCs w:val="20"/>
              </w:rPr>
              <w:t xml:space="preserve">TOTAL</w:t>
            </w:r>
          </w:p>
        </w:tc>
        <w:tc>
          <w:tcPr>
            <w:tcW w:type="dxa" w:w="1400"/>
            <w:tcBorders>
              <w:top w:val="single" w:color="000000" w:sz="4"/>
              <w:left w:val="single" w:color="000000" w:sz="4"/>
              <w:bottom w:val="single" w:color="000000" w:sz="4"/>
              <w:right w:val="single" w:color="000000" w:sz="4"/>
            </w:tcBorders>
            <w:shd w:fill="EDEDED" w:color="auto" w:val="clear"/>
            <w:tcMar>
              <w:top w:type="dxa" w:w="60"/>
              <w:left w:type="dxa" w:w="100"/>
              <w:bottom w:type="dxa" w:w="60"/>
              <w:right w:type="dxa" w:w="100"/>
            </w:tcMar>
            <w:vAlign w:val="top"/>
          </w:tcPr>
          <w:p>
            <w:pPr>
              <w:spacing w:after="0" w:before="0" w:line="276"/>
            </w:pPr>
            <w:r>
              <w:rPr>
                <w:rFonts w:ascii="Times New Roman" w:cs="Times New Roman" w:eastAsia="Times New Roman" w:hAnsi="Times New Roman"/>
                <w:b/>
                <w:bCs/>
                <w:sz w:val="20"/>
                <w:szCs w:val="20"/>
              </w:rPr>
              <w:t xml:space="preserve">100%</w:t>
            </w:r>
          </w:p>
        </w:tc>
        <w:tc>
          <w:tcPr>
            <w:tcW w:type="dxa" w:w="3760"/>
            <w:tcBorders>
              <w:top w:val="single" w:color="000000" w:sz="4"/>
              <w:left w:val="single" w:color="000000" w:sz="4"/>
              <w:bottom w:val="single" w:color="000000" w:sz="4"/>
              <w:right w:val="single" w:color="000000" w:sz="4"/>
            </w:tcBorders>
            <w:shd w:fill="EDEDED" w:color="auto" w:val="clear"/>
            <w:tcMar>
              <w:top w:type="dxa" w:w="60"/>
              <w:left w:type="dxa" w:w="100"/>
              <w:bottom w:type="dxa" w:w="60"/>
              <w:right w:type="dxa" w:w="100"/>
            </w:tcMar>
            <w:vAlign w:val="top"/>
          </w:tcPr>
          <w:p>
            <w:pPr>
              <w:spacing w:after="0" w:before="0" w:line="276"/>
            </w:pPr>
            <w:r>
              <w:rPr>
                <w:rFonts w:ascii="Times New Roman" w:cs="Times New Roman" w:eastAsia="Times New Roman" w:hAnsi="Times New Roman"/>
                <w:sz w:val="22"/>
                <w:szCs w:val="22"/>
              </w:rPr>
              <w:t xml:space="preserve"/>
            </w:r>
          </w:p>
        </w:tc>
      </w:tr>
    </w:tbl>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right"/>
    </w:pPr>
    <w:r>
      <w:rPr>
        <w:rFonts w:ascii="Times New Roman" w:cs="Times New Roman" w:eastAsia="Times New Roman" w:hAnsi="Times New Roman"/>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2"/>
        <w:szCs w:val="22"/>
      </w:rPr>
    </w:rPrDefault>
    <w:pPrDefault>
      <w:pPr>
        <w:spacing w:line="276"/>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60tjz6eu0x0r48coin681" Type="http://schemas.openxmlformats.org/officeDocument/2006/relationships/hyperlink" Target="mailto:yair.chaya@liu.edu" TargetMode="External"/><Relationship Id="rIdd8-wvrbq5l96spsmgkjq-" Type="http://schemas.openxmlformats.org/officeDocument/2006/relationships/hyperlink" Target="https://meet.google.com/ktf-tiqi-ojb" TargetMode="External"/><Relationship Id="rIdjtysdnma-xptzoltzmpo7" Type="http://schemas.openxmlformats.org/officeDocument/2006/relationships/hyperlink" Target="https://tel.meet/ktf-tiqi-ojb?pin=9390802006236" TargetMode="External"/><Relationship Id="rIdw-xmdt0u3bqepu-tf8ztg" Type="http://schemas.openxmlformats.org/officeDocument/2006/relationships/hyperlink" Target="https://lms.liu.edu" TargetMode="External"/><Relationship Id="rIdy6t5rjaqvxivsip8mjqfx" Type="http://schemas.openxmlformats.org/officeDocument/2006/relationships/hyperlink" Target="https://www.liu.edu/brooklyn/Enrollment-Services/Registration/Academic-Calendar" TargetMode="External"/><Relationship Id="rIdkeeoeibqacwcaw5cgsqx3" Type="http://schemas.openxmlformats.org/officeDocument/2006/relationships/hyperlink" Target="http://liu.brooklyn.libguides.com/avoid-detect-plagiarism" TargetMode="External"/><Relationship Id="rIdzp8rgc_cr_w6bwdoao2hu" Type="http://schemas.openxmlformats.org/officeDocument/2006/relationships/hyperlink" Target="http://www.liu.edu/Brooklyn/Enrollment-Services/Registration/Academic-Bulletins" TargetMode="External"/><Relationship Id="rIdw1jsnsan5or37osrndloj" Type="http://schemas.openxmlformats.org/officeDocument/2006/relationships/hyperlink" Target="https://www.liu.edu/Human-Resources/Human-Resources-Policies/Anti-Harassment-Discrimination-Policy" TargetMode="External"/><Relationship Id="rIdyektzyw89wkd7i9fwbdzl" Type="http://schemas.openxmlformats.org/officeDocument/2006/relationships/hyperlink" Target="https://www.liu.edu/brooklyn/Enrollment-Services" TargetMode="External"/><Relationship Id="rIdpmcvhqo1chhr6qrtqeytv" Type="http://schemas.openxmlformats.org/officeDocument/2006/relationships/hyperlink" Target="https://www.liu.edu/brooklyn/Academics/Writing-Center" TargetMode="External"/><Relationship Id="rIdxxufaar0loncchhk-7pmt" Type="http://schemas.openxmlformats.org/officeDocument/2006/relationships/hyperlink" Target="https://www.liu.edu/brooklyn/Academics" TargetMode="External"/><Relationship Id="rIdmnq-6iyffwr-jtkybov09" Type="http://schemas.openxmlformats.org/officeDocument/2006/relationships/hyperlink" Target="mailto:studentsupportservices@brooklyn.liu.edu" TargetMode="External"/><Relationship Id="rIdc49evhefovc97a5c4wbrn" Type="http://schemas.openxmlformats.org/officeDocument/2006/relationships/hyperlink" Target="mailto:studentaffairs@liu.edu" TargetMode="External"/><Relationship Id="rIdkcogv_b71u-vktcpfcn2j" Type="http://schemas.openxmlformats.org/officeDocument/2006/relationships/hyperlink" Target="mailto:It@liu.edu" TargetMode="External"/><Relationship Id="rIdqj4cio_5zr44s65hjutji" Type="http://schemas.openxmlformats.org/officeDocument/2006/relationships/hyperlink" Target="https://www.liu.edu/brooklyn/public-safety" TargetMode="External"/><Relationship Id="rId8" Type="http://schemas.openxmlformats.org/officeDocument/2006/relationships/image" Target="media/140f75d0dcb3b8d1888f4707c93525eba18910fa.png"/><Relationship Id="rId24"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232 Theory of Computation — Syllabus, Fall 2026</dc:title>
  <dc:creator>Professor Yair Chaya</dc:creator>
  <dc:description>Course syllabus for AI 232 Theory of Computation, Long Island University Brooklyn, Fall 2026</dc:description>
  <cp:lastModifiedBy>Un-named</cp:lastModifiedBy>
  <cp:revision>1</cp:revision>
  <dcterms:created xsi:type="dcterms:W3CDTF">2026-09-02T02:50:00.604Z</dcterms:created>
  <dcterms:modified xsi:type="dcterms:W3CDTF">2026-09-02T02:50:00.604Z</dcterms:modified>
</cp:coreProperties>
</file>

<file path=docProps/custom.xml><?xml version="1.0" encoding="utf-8"?>
<Properties xmlns="http://schemas.openxmlformats.org/officeDocument/2006/custom-properties" xmlns:vt="http://schemas.openxmlformats.org/officeDocument/2006/docPropsVTypes"/>
</file>