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20" w:line="240" w:lineRule="auto"/>
        <w:jc w:val="center"/>
      </w:pPr>
      <w:r>
        <w:drawing>
          <wp:inline distT="0" distB="0" distL="0" distR="0">
            <wp:extent cx="3048000" cy="409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048000" cy="409575"/>
                    </a:xfrm>
                    <a:prstGeom prst="rect">
                      <a:avLst/>
                    </a:prstGeom>
                  </pic:spPr>
                </pic:pic>
              </a:graphicData>
            </a:graphic>
          </wp:inline>
        </w:drawing>
      </w:r>
    </w:p>
    <w:p>
      <w:pPr>
        <w:spacing w:after="160"/>
        <w:jc w:val="center"/>
      </w:pPr>
      <w:r>
        <w:rPr>
          <w:rFonts w:ascii="Times New Roman" w:cs="Times New Roman" w:eastAsia="Times New Roman" w:hAnsi="Times New Roman"/>
          <w:b/>
          <w:bCs/>
          <w:sz w:val="34"/>
          <w:szCs w:val="34"/>
        </w:rPr>
        <w:t xml:space="preserve">AI 230</w:t>
      </w:r>
    </w:p>
    <w:p>
      <w:pPr>
        <w:spacing w:after="100"/>
        <w:jc w:val="center"/>
      </w:pPr>
      <w:r>
        <w:rPr>
          <w:rFonts w:ascii="Times New Roman" w:cs="Times New Roman" w:eastAsia="Times New Roman" w:hAnsi="Times New Roman"/>
          <w:b/>
          <w:bCs/>
          <w:sz w:val="32"/>
          <w:szCs w:val="32"/>
        </w:rPr>
        <w:t xml:space="preserve">Introduction to Algorithms</w:t>
      </w:r>
    </w:p>
    <w:p>
      <w:pPr>
        <w:spacing w:after="240"/>
        <w:jc w:val="center"/>
      </w:pPr>
      <w:r>
        <w:rPr>
          <w:rFonts w:ascii="Times New Roman" w:cs="Times New Roman" w:eastAsia="Times New Roman" w:hAnsi="Times New Roman"/>
          <w:sz w:val="22"/>
          <w:szCs w:val="22"/>
        </w:rPr>
        <w:t xml:space="preserve">Section 001 — Class # 4435 — Llab</w:t>
      </w:r>
    </w:p>
    <w:p>
      <w:pPr>
        <w:keepNext/>
        <w:spacing w:after="140" w:before="280" w:line="276"/>
      </w:pPr>
      <w:r>
        <w:rPr>
          <w:rFonts w:ascii="Times New Roman" w:cs="Times New Roman" w:eastAsia="Times New Roman" w:hAnsi="Times New Roman"/>
          <w:b/>
          <w:bCs/>
          <w:sz w:val="26"/>
          <w:szCs w:val="26"/>
        </w:rPr>
        <w:t xml:space="preserve">Faculty Info + Office Hours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left w:val="none"/>
              <w:bottom w:val="none"/>
              <w:right w:val="none"/>
            </w:tcBorders>
            <w:tcMar>
              <w:top w:type="dxa" w:w="60"/>
              <w:left w:type="dxa" w:w="100"/>
              <w:bottom w:type="dxa" w:w="60"/>
              <w:right w:type="dxa" w:w="100"/>
            </w:tcMar>
            <w:vAlign w:val="top"/>
          </w:tcPr>
          <w:p>
            <w:pPr>
              <w:spacing w:after="60" w:before="0" w:line="276"/>
            </w:pPr>
            <w:r>
              <w:rPr>
                <w:rFonts w:ascii="Times New Roman" w:cs="Times New Roman" w:eastAsia="Times New Roman" w:hAnsi="Times New Roman"/>
                <w:b/>
                <w:bCs/>
                <w:sz w:val="22"/>
                <w:szCs w:val="22"/>
              </w:rPr>
              <w:t xml:space="preserve">Name: </w:t>
            </w:r>
            <w:r>
              <w:rPr>
                <w:rFonts w:ascii="Times New Roman" w:cs="Times New Roman" w:eastAsia="Times New Roman" w:hAnsi="Times New Roman"/>
                <w:sz w:val="22"/>
                <w:szCs w:val="22"/>
              </w:rPr>
              <w:t xml:space="preserve">Professor Yair Chaya</w:t>
            </w:r>
          </w:p>
          <w:p>
            <w:pPr>
              <w:spacing w:after="60" w:before="0" w:line="276"/>
            </w:pPr>
            <w:r>
              <w:rPr>
                <w:rFonts w:ascii="Times New Roman" w:cs="Times New Roman" w:eastAsia="Times New Roman" w:hAnsi="Times New Roman"/>
                <w:b/>
                <w:bCs/>
                <w:sz w:val="22"/>
                <w:szCs w:val="22"/>
              </w:rPr>
              <w:t xml:space="preserve">Email: </w:t>
            </w:r>
            <w:hyperlink w:history="1" r:id="rIdlxomlvre2o_irdwxzhrxq">
              <w:r>
                <w:rPr>
                  <w:rStyle w:val="Hyperlink"/>
                  <w:rFonts w:ascii="Times New Roman" w:cs="Times New Roman" w:eastAsia="Times New Roman" w:hAnsi="Times New Roman"/>
                  <w:color w:val="0563C1"/>
                  <w:sz w:val="22"/>
                  <w:szCs w:val="22"/>
                  <w:u w:val="single"/>
                </w:rPr>
                <w:t xml:space="preserve">yair.chaya@liu.edu</w:t>
              </w:r>
            </w:hyperlink>
          </w:p>
          <w:p>
            <w:pPr>
              <w:spacing w:after="0" w:before="0" w:line="276"/>
            </w:pPr>
            <w:r>
              <w:rPr>
                <w:rFonts w:ascii="Times New Roman" w:cs="Times New Roman" w:eastAsia="Times New Roman" w:hAnsi="Times New Roman"/>
                <w:b/>
                <w:bCs/>
                <w:sz w:val="22"/>
                <w:szCs w:val="22"/>
              </w:rPr>
              <w:t xml:space="preserve">Phone: </w:t>
            </w:r>
            <w:r>
              <w:rPr>
                <w:rFonts w:ascii="Times New Roman" w:cs="Times New Roman" w:eastAsia="Times New Roman" w:hAnsi="Times New Roman"/>
                <w:sz w:val="22"/>
                <w:szCs w:val="22"/>
              </w:rPr>
              <w:t xml:space="preserve">718-864-1753</w:t>
            </w:r>
          </w:p>
        </w:tc>
        <w:tc>
          <w:tcPr>
            <w:tcW w:type="dxa" w:w="4680"/>
            <w:tcBorders>
              <w:top w:val="none"/>
              <w:left w:val="none"/>
              <w:bottom w:val="none"/>
              <w:right w:val="none"/>
            </w:tcBorders>
            <w:tcMar>
              <w:top w:type="dxa" w:w="60"/>
              <w:left w:type="dxa" w:w="100"/>
              <w:bottom w:type="dxa" w:w="60"/>
              <w:right w:type="dxa" w:w="100"/>
            </w:tcMar>
            <w:vAlign w:val="top"/>
          </w:tcPr>
          <w:p>
            <w:pPr>
              <w:spacing w:after="60" w:before="0" w:line="276"/>
            </w:pPr>
            <w:r>
              <w:rPr>
                <w:rFonts w:ascii="Times New Roman" w:cs="Times New Roman" w:eastAsia="Times New Roman" w:hAnsi="Times New Roman"/>
                <w:b/>
                <w:bCs/>
                <w:sz w:val="22"/>
                <w:szCs w:val="22"/>
              </w:rPr>
              <w:t xml:space="preserve">Office Hours: </w:t>
            </w:r>
            <w:r>
              <w:rPr>
                <w:rFonts w:ascii="Times New Roman" w:cs="Times New Roman" w:eastAsia="Times New Roman" w:hAnsi="Times New Roman"/>
                <w:sz w:val="22"/>
                <w:szCs w:val="22"/>
              </w:rPr>
              <w:t xml:space="preserve">Virtual, by appointment. Email to schedule.</w:t>
            </w:r>
          </w:p>
          <w:p>
            <w:pPr>
              <w:spacing w:after="0" w:before="0" w:line="276"/>
            </w:pPr>
            <w:r>
              <w:rPr>
                <w:rFonts w:ascii="Times New Roman" w:cs="Times New Roman" w:eastAsia="Times New Roman" w:hAnsi="Times New Roman"/>
                <w:sz w:val="22"/>
                <w:szCs w:val="22"/>
              </w:rPr>
              <w:t xml:space="preserve">Preferred Method of Communication: Best reached by email. Expect a reply within 24 hours.</w:t>
            </w:r>
          </w:p>
        </w:tc>
      </w:tr>
    </w:tbl>
    <w:p>
      <w:pPr>
        <w:keepNext/>
        <w:spacing w:after="140" w:before="280" w:line="276"/>
      </w:pPr>
      <w:r>
        <w:rPr>
          <w:rFonts w:ascii="Times New Roman" w:cs="Times New Roman" w:eastAsia="Times New Roman" w:hAnsi="Times New Roman"/>
          <w:b/>
          <w:bCs/>
          <w:sz w:val="26"/>
          <w:szCs w:val="26"/>
        </w:rPr>
        <w:t xml:space="preserve">Prerequisite + Credits</w:t>
      </w:r>
    </w:p>
    <w:p>
      <w:pPr>
        <w:spacing w:after="40" w:before="0" w:line="276"/>
      </w:pPr>
      <w:r>
        <w:rPr>
          <w:rFonts w:ascii="Times New Roman" w:cs="Times New Roman" w:eastAsia="Times New Roman" w:hAnsi="Times New Roman"/>
          <w:sz w:val="22"/>
          <w:szCs w:val="22"/>
        </w:rPr>
        <w:t xml:space="preserve">Three credits.</w:t>
      </w:r>
    </w:p>
    <w:p>
      <w:pPr>
        <w:spacing w:after="40" w:before="0" w:line="276"/>
      </w:pPr>
      <w:r>
        <w:rPr>
          <w:rFonts w:ascii="Times New Roman" w:cs="Times New Roman" w:eastAsia="Times New Roman" w:hAnsi="Times New Roman"/>
          <w:sz w:val="22"/>
          <w:szCs w:val="22"/>
        </w:rPr>
        <w:t xml:space="preserve">Course-hours distribution: (3, 2, 2)</w:t>
      </w:r>
    </w:p>
    <w:p>
      <w:pPr>
        <w:spacing w:after="120" w:before="0" w:line="276"/>
      </w:pPr>
      <w:r>
        <w:rPr>
          <w:rFonts w:ascii="Times New Roman" w:cs="Times New Roman" w:eastAsia="Times New Roman" w:hAnsi="Times New Roman"/>
          <w:sz w:val="22"/>
          <w:szCs w:val="22"/>
        </w:rPr>
        <w:t xml:space="preserve">Prerequisites: Introductory programming proficiency in a language of the student’s choice (Python recommended) and college-level discrete mathematics, or permission of the instructor. See the current course bulletin for the official prerequisite listing.</w:t>
      </w:r>
    </w:p>
    <w:p>
      <w:pPr>
        <w:keepNext/>
        <w:spacing w:after="140" w:before="280" w:line="276"/>
      </w:pPr>
      <w:r>
        <w:rPr>
          <w:rFonts w:ascii="Times New Roman" w:cs="Times New Roman" w:eastAsia="Times New Roman" w:hAnsi="Times New Roman"/>
          <w:b/>
          <w:bCs/>
          <w:sz w:val="26"/>
          <w:szCs w:val="26"/>
        </w:rPr>
        <w:t xml:space="preserve">Dates + Time + Location + Format</w:t>
      </w:r>
    </w:p>
    <w:p>
      <w:pPr>
        <w:spacing w:after="40" w:before="0" w:line="276"/>
      </w:pPr>
      <w:r>
        <w:rPr>
          <w:rFonts w:ascii="Times New Roman" w:cs="Times New Roman" w:eastAsia="Times New Roman" w:hAnsi="Times New Roman"/>
          <w:b/>
          <w:bCs/>
          <w:sz w:val="22"/>
          <w:szCs w:val="22"/>
        </w:rPr>
        <w:t xml:space="preserve">Term: </w:t>
      </w:r>
      <w:r>
        <w:rPr>
          <w:rFonts w:ascii="Times New Roman" w:cs="Times New Roman" w:eastAsia="Times New Roman" w:hAnsi="Times New Roman"/>
          <w:sz w:val="22"/>
          <w:szCs w:val="22"/>
        </w:rPr>
        <w:t xml:space="preserve">09/02/2026 – 12/21/2026 (Fall 2026)</w:t>
      </w:r>
    </w:p>
    <w:p>
      <w:pPr>
        <w:spacing w:after="40" w:before="0" w:line="276"/>
      </w:pPr>
      <w:r>
        <w:rPr>
          <w:rFonts w:ascii="Times New Roman" w:cs="Times New Roman" w:eastAsia="Times New Roman" w:hAnsi="Times New Roman"/>
          <w:b/>
          <w:bCs/>
          <w:sz w:val="22"/>
          <w:szCs w:val="22"/>
        </w:rPr>
        <w:t xml:space="preserve">Meetings: </w:t>
      </w:r>
      <w:r>
        <w:rPr>
          <w:rFonts w:ascii="Times New Roman" w:cs="Times New Roman" w:eastAsia="Times New Roman" w:hAnsi="Times New Roman"/>
          <w:sz w:val="22"/>
          <w:szCs w:val="22"/>
        </w:rPr>
        <w:t xml:space="preserve">Tuesday &amp; Thursday, 4:00 PM – 5:50 PM</w:t>
      </w:r>
    </w:p>
    <w:p>
      <w:pPr>
        <w:spacing w:after="40" w:before="0" w:line="276"/>
      </w:pPr>
      <w:r>
        <w:rPr>
          <w:rFonts w:ascii="Times New Roman" w:cs="Times New Roman" w:eastAsia="Times New Roman" w:hAnsi="Times New Roman"/>
          <w:b/>
          <w:bCs/>
          <w:sz w:val="22"/>
          <w:szCs w:val="22"/>
        </w:rPr>
        <w:t xml:space="preserve">Room of record: </w:t>
      </w:r>
      <w:r>
        <w:rPr>
          <w:rFonts w:ascii="Times New Roman" w:cs="Times New Roman" w:eastAsia="Times New Roman" w:hAnsi="Times New Roman"/>
          <w:sz w:val="22"/>
          <w:szCs w:val="22"/>
        </w:rPr>
        <w:t xml:space="preserve">Pratt 520 (course is delivered online; room is reserved and used only if an in-person session is announced)</w:t>
      </w:r>
    </w:p>
    <w:p>
      <w:pPr>
        <w:spacing w:after="120" w:before="0" w:line="276"/>
      </w:pPr>
      <w:r>
        <w:rPr>
          <w:rFonts w:ascii="Times New Roman" w:cs="Times New Roman" w:eastAsia="Times New Roman" w:hAnsi="Times New Roman"/>
          <w:b/>
          <w:bCs/>
          <w:sz w:val="22"/>
          <w:szCs w:val="22"/>
        </w:rPr>
        <w:t xml:space="preserve">Format: </w:t>
      </w:r>
      <w:r>
        <w:rPr>
          <w:rFonts w:ascii="Times New Roman" w:cs="Times New Roman" w:eastAsia="Times New Roman" w:hAnsi="Times New Roman"/>
          <w:sz w:val="22"/>
          <w:szCs w:val="22"/>
        </w:rPr>
        <w:t xml:space="preserve">Online instruction. All class sessions are synchronous and held live over Google Meet at the scheduled meeting times. Attendance at the live sessions is expected; sessions are working sessions in which project work is developed, demonstrated, and critiqued.</w:t>
      </w:r>
    </w:p>
    <w:p>
      <w:pPr>
        <w:spacing w:after="40" w:before="0" w:line="276"/>
      </w:pPr>
      <w:r>
        <w:rPr>
          <w:rFonts w:ascii="Times New Roman" w:cs="Times New Roman" w:eastAsia="Times New Roman" w:hAnsi="Times New Roman"/>
          <w:b/>
          <w:bCs/>
          <w:sz w:val="22"/>
          <w:szCs w:val="22"/>
        </w:rPr>
        <w:t xml:space="preserve">Google Meet link: </w:t>
      </w:r>
      <w:hyperlink w:history="1" r:id="rIdjgywkv2vok9jjvpusvm8z">
        <w:r>
          <w:rPr>
            <w:rStyle w:val="Hyperlink"/>
            <w:rFonts w:ascii="Times New Roman" w:cs="Times New Roman" w:eastAsia="Times New Roman" w:hAnsi="Times New Roman"/>
            <w:color w:val="0563C1"/>
            <w:sz w:val="22"/>
            <w:szCs w:val="22"/>
            <w:u w:val="single"/>
          </w:rPr>
          <w:t xml:space="preserve">https://meet.google.com/wed-rupa-buw</w:t>
        </w:r>
      </w:hyperlink>
    </w:p>
    <w:p>
      <w:pPr>
        <w:spacing w:after="40" w:before="0" w:line="276"/>
      </w:pPr>
      <w:r>
        <w:rPr>
          <w:rFonts w:ascii="Times New Roman" w:cs="Times New Roman" w:eastAsia="Times New Roman" w:hAnsi="Times New Roman"/>
          <w:b/>
          <w:bCs/>
          <w:sz w:val="22"/>
          <w:szCs w:val="22"/>
        </w:rPr>
        <w:t xml:space="preserve">Or dial in (US): </w:t>
      </w:r>
      <w:r>
        <w:rPr>
          <w:rFonts w:ascii="Times New Roman" w:cs="Times New Roman" w:eastAsia="Times New Roman" w:hAnsi="Times New Roman"/>
          <w:sz w:val="22"/>
          <w:szCs w:val="22"/>
        </w:rPr>
        <w:t xml:space="preserve">+1 573-741-0170  —  PIN: 948 640 826#</w:t>
      </w:r>
    </w:p>
    <w:p>
      <w:pPr>
        <w:spacing w:after="120" w:before="0" w:line="276"/>
      </w:pPr>
      <w:r>
        <w:rPr>
          <w:rFonts w:ascii="Times New Roman" w:cs="Times New Roman" w:eastAsia="Times New Roman" w:hAnsi="Times New Roman"/>
          <w:b/>
          <w:bCs/>
          <w:sz w:val="22"/>
          <w:szCs w:val="22"/>
        </w:rPr>
        <w:t xml:space="preserve">More phone numbers: </w:t>
      </w:r>
      <w:hyperlink w:history="1" r:id="rIdb49jje7tb4jf6wg5n8-n4">
        <w:r>
          <w:rPr>
            <w:rStyle w:val="Hyperlink"/>
            <w:rFonts w:ascii="Times New Roman" w:cs="Times New Roman" w:eastAsia="Times New Roman" w:hAnsi="Times New Roman"/>
            <w:color w:val="0563C1"/>
            <w:sz w:val="22"/>
            <w:szCs w:val="22"/>
            <w:u w:val="single"/>
          </w:rPr>
          <w:t xml:space="preserve">https://tel.meet/wed-rupa-buw?pin=6117991107787</w:t>
        </w:r>
      </w:hyperlink>
    </w:p>
    <w:p>
      <w:pPr>
        <w:spacing w:after="40" w:before="0" w:line="276"/>
      </w:pPr>
      <w:r>
        <w:rPr>
          <w:rFonts w:ascii="Times New Roman" w:cs="Times New Roman" w:eastAsia="Times New Roman" w:hAnsi="Times New Roman"/>
          <w:b/>
          <w:bCs/>
          <w:sz w:val="22"/>
          <w:szCs w:val="22"/>
        </w:rPr>
        <w:t xml:space="preserve">Course repository (notes and materials): </w:t>
      </w:r>
      <w:r>
        <w:rPr>
          <w:rFonts w:ascii="Times New Roman" w:cs="Times New Roman" w:eastAsia="Times New Roman" w:hAnsi="Times New Roman"/>
          <w:color w:val="808080"/>
          <w:sz w:val="22"/>
          <w:szCs w:val="22"/>
        </w:rPr>
        <w:t xml:space="preserve">_______________________________________________</w:t>
      </w:r>
    </w:p>
    <w:p>
      <w:pPr>
        <w:spacing w:after="120" w:before="0" w:line="276"/>
      </w:pPr>
      <w:r>
        <w:rPr>
          <w:rFonts w:ascii="Times New Roman" w:cs="Times New Roman" w:eastAsia="Times New Roman" w:hAnsi="Times New Roman"/>
          <w:b/>
          <w:bCs/>
          <w:sz w:val="22"/>
          <w:szCs w:val="22"/>
        </w:rPr>
        <w:t xml:space="preserve">Course LMS (Brightspace): </w:t>
      </w:r>
      <w:hyperlink w:history="1" r:id="rId0ictwijb4dmymcofg82q7">
        <w:r>
          <w:rPr>
            <w:rStyle w:val="Hyperlink"/>
            <w:rFonts w:ascii="Times New Roman" w:cs="Times New Roman" w:eastAsia="Times New Roman" w:hAnsi="Times New Roman"/>
            <w:color w:val="0563C1"/>
            <w:sz w:val="22"/>
            <w:szCs w:val="22"/>
            <w:u w:val="single"/>
          </w:rPr>
          <w:t xml:space="preserve">https://lms.liu.edu</w:t>
        </w:r>
      </w:hyperlink>
      <w:r>
        <w:rPr>
          <w:rFonts w:ascii="Times New Roman" w:cs="Times New Roman" w:eastAsia="Times New Roman" w:hAnsi="Times New Roman"/>
          <w:sz w:val="22"/>
          <w:szCs w:val="22"/>
        </w:rPr>
        <w:t xml:space="preserve"> — used for announcements, assignment submission, and grades.</w:t>
      </w:r>
    </w:p>
    <w:p>
      <w:pPr>
        <w:keepNext/>
        <w:spacing w:after="140" w:before="280" w:line="276"/>
      </w:pPr>
      <w:r>
        <w:rPr>
          <w:rFonts w:ascii="Times New Roman" w:cs="Times New Roman" w:eastAsia="Times New Roman" w:hAnsi="Times New Roman"/>
          <w:b/>
          <w:bCs/>
          <w:sz w:val="26"/>
          <w:szCs w:val="26"/>
        </w:rPr>
        <w:t xml:space="preserve">Required Course Materials/Textbook</w:t>
      </w:r>
    </w:p>
    <w:p>
      <w:pPr>
        <w:pStyle w:val="ListParagraph"/>
        <w:numPr>
          <w:ilvl w:val="0"/>
          <w:numId w:val="1"/>
        </w:numPr>
        <w:spacing w:after="80" w:line="276"/>
      </w:pPr>
      <w:r>
        <w:rPr>
          <w:rFonts w:ascii="Times New Roman" w:cs="Times New Roman" w:eastAsia="Times New Roman" w:hAnsi="Times New Roman"/>
          <w:sz w:val="22"/>
          <w:szCs w:val="22"/>
        </w:rPr>
        <w:t xml:space="preserve">There is no required textbook and no textbook purchase is necessary for this course.</w:t>
      </w:r>
    </w:p>
    <w:p>
      <w:pPr>
        <w:pStyle w:val="ListParagraph"/>
        <w:numPr>
          <w:ilvl w:val="0"/>
          <w:numId w:val="1"/>
        </w:numPr>
        <w:spacing w:after="80" w:line="276"/>
      </w:pPr>
      <w:r>
        <w:rPr>
          <w:rFonts w:ascii="Times New Roman" w:cs="Times New Roman" w:eastAsia="Times New Roman" w:hAnsi="Times New Roman"/>
          <w:sz w:val="22"/>
          <w:szCs w:val="22"/>
        </w:rPr>
        <w:t xml:space="preserve">All lecture notes, worked examples, code, and project specifications are written by the instructor and distributed through the course GitHub repository (with a Google Doc mirror where useful). Materials are posted before the session in which they are used and remain available for the full term.</w:t>
      </w:r>
    </w:p>
    <w:p>
      <w:pPr>
        <w:keepNext/>
        <w:spacing w:after="100" w:before="200" w:line="276"/>
      </w:pPr>
      <w:r>
        <w:rPr>
          <w:rFonts w:ascii="Times New Roman" w:cs="Times New Roman" w:eastAsia="Times New Roman" w:hAnsi="Times New Roman"/>
          <w:b/>
          <w:bCs/>
          <w:sz w:val="23"/>
          <w:szCs w:val="23"/>
        </w:rPr>
        <w:t xml:space="preserve">Recommended Additional Course Materials/References</w:t>
      </w:r>
    </w:p>
    <w:p>
      <w:pPr>
        <w:pStyle w:val="ListParagraph"/>
        <w:numPr>
          <w:ilvl w:val="0"/>
          <w:numId w:val="1"/>
        </w:numPr>
        <w:spacing w:after="80" w:line="276"/>
      </w:pPr>
      <w:r>
        <w:rPr>
          <w:rFonts w:ascii="Times New Roman" w:cs="Times New Roman" w:eastAsia="Times New Roman" w:hAnsi="Times New Roman"/>
          <w:sz w:val="22"/>
          <w:szCs w:val="22"/>
        </w:rPr>
        <w:t xml:space="preserve">Optional supplementary readings — all freely available online — are linked from the course repository, week by week. None are required.</w:t>
      </w:r>
    </w:p>
    <w:p>
      <w:pPr>
        <w:keepNext/>
        <w:spacing w:after="100" w:before="200" w:line="276"/>
      </w:pPr>
      <w:r>
        <w:rPr>
          <w:rFonts w:ascii="Times New Roman" w:cs="Times New Roman" w:eastAsia="Times New Roman" w:hAnsi="Times New Roman"/>
          <w:b/>
          <w:bCs/>
          <w:sz w:val="23"/>
          <w:szCs w:val="23"/>
        </w:rPr>
        <w:t xml:space="preserve">Software, Tools, Development Environments</w:t>
      </w:r>
    </w:p>
    <w:p>
      <w:pPr>
        <w:pStyle w:val="ListParagraph"/>
        <w:numPr>
          <w:ilvl w:val="0"/>
          <w:numId w:val="1"/>
        </w:numPr>
        <w:spacing w:after="80" w:line="276"/>
      </w:pPr>
      <w:r>
        <w:rPr>
          <w:rFonts w:ascii="Times New Roman" w:cs="Times New Roman" w:eastAsia="Times New Roman" w:hAnsi="Times New Roman"/>
          <w:sz w:val="22"/>
          <w:szCs w:val="22"/>
        </w:rPr>
        <w:t xml:space="preserve">Python 3.11 or later (primary language for all projects; another language may be used with prior approval)</w:t>
      </w:r>
    </w:p>
    <w:p>
      <w:pPr>
        <w:pStyle w:val="ListParagraph"/>
        <w:numPr>
          <w:ilvl w:val="0"/>
          <w:numId w:val="1"/>
        </w:numPr>
        <w:spacing w:after="80" w:line="276"/>
      </w:pPr>
      <w:r>
        <w:rPr>
          <w:rFonts w:ascii="Times New Roman" w:cs="Times New Roman" w:eastAsia="Times New Roman" w:hAnsi="Times New Roman"/>
          <w:sz w:val="22"/>
          <w:szCs w:val="22"/>
        </w:rPr>
        <w:t xml:space="preserve">Git and a personal GitHub account</w:t>
      </w:r>
    </w:p>
    <w:p>
      <w:pPr>
        <w:pStyle w:val="ListParagraph"/>
        <w:numPr>
          <w:ilvl w:val="0"/>
          <w:numId w:val="1"/>
        </w:numPr>
        <w:spacing w:after="80" w:line="276"/>
      </w:pPr>
      <w:r>
        <w:rPr>
          <w:rFonts w:ascii="Times New Roman" w:cs="Times New Roman" w:eastAsia="Times New Roman" w:hAnsi="Times New Roman"/>
          <w:sz w:val="22"/>
          <w:szCs w:val="22"/>
        </w:rPr>
        <w:t xml:space="preserve">A code editor of the student’s choice (VS Code recommended)</w:t>
      </w:r>
    </w:p>
    <w:p>
      <w:pPr>
        <w:pStyle w:val="ListParagraph"/>
        <w:numPr>
          <w:ilvl w:val="0"/>
          <w:numId w:val="1"/>
        </w:numPr>
        <w:spacing w:after="80" w:line="276"/>
      </w:pPr>
      <w:r>
        <w:rPr>
          <w:rFonts w:ascii="Times New Roman" w:cs="Times New Roman" w:eastAsia="Times New Roman" w:hAnsi="Times New Roman"/>
          <w:sz w:val="22"/>
          <w:szCs w:val="22"/>
        </w:rPr>
        <w:t xml:space="preserve">Jupyter Notebook or an equivalent, for benchmarking and analysis write-ups</w:t>
      </w:r>
    </w:p>
    <w:p>
      <w:pPr>
        <w:pStyle w:val="ListParagraph"/>
        <w:numPr>
          <w:ilvl w:val="0"/>
          <w:numId w:val="1"/>
        </w:numPr>
        <w:spacing w:after="80" w:line="276"/>
      </w:pPr>
      <w:r>
        <w:rPr>
          <w:rFonts w:ascii="Times New Roman" w:cs="Times New Roman" w:eastAsia="Times New Roman" w:hAnsi="Times New Roman"/>
          <w:sz w:val="22"/>
          <w:szCs w:val="22"/>
        </w:rPr>
        <w:t xml:space="preserve">Google Meet, for all synchronous class sessions</w:t>
      </w:r>
    </w:p>
    <w:p>
      <w:pPr>
        <w:spacing w:after="120" w:before="80" w:line="276"/>
      </w:pPr>
      <w:r>
        <w:rPr>
          <w:rFonts w:ascii="Times New Roman" w:cs="Times New Roman" w:eastAsia="Times New Roman" w:hAnsi="Times New Roman"/>
          <w:sz w:val="22"/>
          <w:szCs w:val="22"/>
        </w:rPr>
        <w:t xml:space="preserve">All required software is free or available at no cost to students. Setup instructions are posted in the course repository and Week 1 includes a guided setup session.</w:t>
      </w:r>
    </w:p>
    <w:p>
      <w:pPr>
        <w:keepNext/>
        <w:spacing w:after="140" w:before="280" w:line="276"/>
      </w:pPr>
      <w:r>
        <w:rPr>
          <w:rFonts w:ascii="Times New Roman" w:cs="Times New Roman" w:eastAsia="Times New Roman" w:hAnsi="Times New Roman"/>
          <w:b/>
          <w:bCs/>
          <w:sz w:val="26"/>
          <w:szCs w:val="26"/>
        </w:rPr>
        <w:t xml:space="preserve">Course Description</w:t>
      </w:r>
    </w:p>
    <w:p>
      <w:pPr>
        <w:spacing w:after="120" w:before="0" w:line="276"/>
      </w:pPr>
      <w:r>
        <w:rPr>
          <w:rFonts w:ascii="Times New Roman" w:cs="Times New Roman" w:eastAsia="Times New Roman" w:hAnsi="Times New Roman"/>
          <w:sz w:val="22"/>
          <w:szCs w:val="22"/>
        </w:rPr>
        <w:t xml:space="preserve">This course introduces the design, analysis, and practical implementation of algorithms. Students learn to reason about correctness and efficiency, to select and adapt appropriate algorithmic strategies for a problem, and to justify their choices with both mathematical analysis and empirical measurement. The treatment is deliberately practical and conceptual: every major technique — divide and conquer, greedy methods, dynamic programming, graph traversal, and the boundaries of tractability — is developed through working code applied to realistic problems rather than through proof exercises alone.</w:t>
      </w:r>
    </w:p>
    <w:p>
      <w:pPr>
        <w:keepNext/>
        <w:spacing w:after="140" w:before="280" w:line="276"/>
      </w:pPr>
      <w:r>
        <w:rPr>
          <w:rFonts w:ascii="Times New Roman" w:cs="Times New Roman" w:eastAsia="Times New Roman" w:hAnsi="Times New Roman"/>
          <w:b/>
          <w:bCs/>
          <w:sz w:val="26"/>
          <w:szCs w:val="26"/>
        </w:rPr>
        <w:t xml:space="preserve">Course Objectives</w:t>
      </w:r>
    </w:p>
    <w:p>
      <w:pPr>
        <w:spacing w:after="100"/>
      </w:pPr>
      <w:r>
        <w:rPr>
          <w:rFonts w:ascii="Times New Roman" w:cs="Times New Roman" w:eastAsia="Times New Roman" w:hAnsi="Times New Roman"/>
          <w:sz w:val="22"/>
          <w:szCs w:val="22"/>
          <w:u w:val="single"/>
        </w:rPr>
        <w:t xml:space="preserve">Topics include:</w:t>
      </w:r>
    </w:p>
    <w:p>
      <w:pPr>
        <w:pStyle w:val="ListParagraph"/>
        <w:numPr>
          <w:ilvl w:val="0"/>
          <w:numId w:val="1"/>
        </w:numPr>
        <w:spacing w:after="80" w:line="276"/>
      </w:pPr>
      <w:r>
        <w:rPr>
          <w:rFonts w:ascii="Times New Roman" w:cs="Times New Roman" w:eastAsia="Times New Roman" w:hAnsi="Times New Roman"/>
          <w:sz w:val="22"/>
          <w:szCs w:val="22"/>
        </w:rPr>
        <w:t xml:space="preserve">Algorithmic thinking, specification, and correctness</w:t>
      </w:r>
    </w:p>
    <w:p>
      <w:pPr>
        <w:spacing w:after="60" w:line="276"/>
        <w:ind w:left="1512"/>
      </w:pPr>
      <w:r>
        <w:rPr>
          <w:rFonts w:ascii="Times New Roman" w:cs="Times New Roman" w:eastAsia="Times New Roman" w:hAnsi="Times New Roman"/>
          <w:sz w:val="22"/>
          <w:szCs w:val="22"/>
        </w:rPr>
        <w:t xml:space="preserve">a. Problem specification and invariants</w:t>
      </w:r>
    </w:p>
    <w:p>
      <w:pPr>
        <w:spacing w:after="60" w:line="276"/>
        <w:ind w:left="1512"/>
      </w:pPr>
      <w:r>
        <w:rPr>
          <w:rFonts w:ascii="Times New Roman" w:cs="Times New Roman" w:eastAsia="Times New Roman" w:hAnsi="Times New Roman"/>
          <w:sz w:val="22"/>
          <w:szCs w:val="22"/>
        </w:rPr>
        <w:t xml:space="preserve">b. Proof of correctness by induction and loop invariants</w:t>
      </w:r>
    </w:p>
    <w:p>
      <w:pPr>
        <w:spacing w:after="60" w:line="276"/>
        <w:ind w:left="1512"/>
      </w:pPr>
      <w:r>
        <w:rPr>
          <w:rFonts w:ascii="Times New Roman" w:cs="Times New Roman" w:eastAsia="Times New Roman" w:hAnsi="Times New Roman"/>
          <w:sz w:val="22"/>
          <w:szCs w:val="22"/>
        </w:rPr>
        <w:t xml:space="preserve">c. Pseudocode as a design tool</w:t>
      </w:r>
    </w:p>
    <w:p>
      <w:pPr>
        <w:pStyle w:val="ListParagraph"/>
        <w:numPr>
          <w:ilvl w:val="0"/>
          <w:numId w:val="1"/>
        </w:numPr>
        <w:spacing w:after="80" w:line="276"/>
      </w:pPr>
      <w:r>
        <w:rPr>
          <w:rFonts w:ascii="Times New Roman" w:cs="Times New Roman" w:eastAsia="Times New Roman" w:hAnsi="Times New Roman"/>
          <w:sz w:val="22"/>
          <w:szCs w:val="22"/>
        </w:rPr>
        <w:t xml:space="preserve">Asymptotic analysis</w:t>
      </w:r>
    </w:p>
    <w:p>
      <w:pPr>
        <w:spacing w:after="60" w:line="276"/>
        <w:ind w:left="1512"/>
      </w:pPr>
      <w:r>
        <w:rPr>
          <w:rFonts w:ascii="Times New Roman" w:cs="Times New Roman" w:eastAsia="Times New Roman" w:hAnsi="Times New Roman"/>
          <w:sz w:val="22"/>
          <w:szCs w:val="22"/>
        </w:rPr>
        <w:t xml:space="preserve">a. Big-O, Omega, and Theta notation</w:t>
      </w:r>
    </w:p>
    <w:p>
      <w:pPr>
        <w:spacing w:after="60" w:line="276"/>
        <w:ind w:left="1512"/>
      </w:pPr>
      <w:r>
        <w:rPr>
          <w:rFonts w:ascii="Times New Roman" w:cs="Times New Roman" w:eastAsia="Times New Roman" w:hAnsi="Times New Roman"/>
          <w:sz w:val="22"/>
          <w:szCs w:val="22"/>
        </w:rPr>
        <w:t xml:space="preserve">b. Analysis of loops and recursive procedures</w:t>
      </w:r>
    </w:p>
    <w:p>
      <w:pPr>
        <w:spacing w:after="60" w:line="276"/>
        <w:ind w:left="1512"/>
      </w:pPr>
      <w:r>
        <w:rPr>
          <w:rFonts w:ascii="Times New Roman" w:cs="Times New Roman" w:eastAsia="Times New Roman" w:hAnsi="Times New Roman"/>
          <w:sz w:val="22"/>
          <w:szCs w:val="22"/>
        </w:rPr>
        <w:t xml:space="preserve">c. Recurrence relations and the Master Theorem</w:t>
      </w:r>
    </w:p>
    <w:p>
      <w:pPr>
        <w:spacing w:after="60" w:line="276"/>
        <w:ind w:left="1512"/>
      </w:pPr>
      <w:r>
        <w:rPr>
          <w:rFonts w:ascii="Times New Roman" w:cs="Times New Roman" w:eastAsia="Times New Roman" w:hAnsi="Times New Roman"/>
          <w:sz w:val="22"/>
          <w:szCs w:val="22"/>
        </w:rPr>
        <w:t xml:space="preserve">d. Empirical benchmarking and the gap between theory and the machine</w:t>
      </w:r>
    </w:p>
    <w:p>
      <w:pPr>
        <w:pStyle w:val="ListParagraph"/>
        <w:numPr>
          <w:ilvl w:val="0"/>
          <w:numId w:val="1"/>
        </w:numPr>
        <w:spacing w:after="80" w:line="276"/>
      </w:pPr>
      <w:r>
        <w:rPr>
          <w:rFonts w:ascii="Times New Roman" w:cs="Times New Roman" w:eastAsia="Times New Roman" w:hAnsi="Times New Roman"/>
          <w:sz w:val="22"/>
          <w:szCs w:val="22"/>
        </w:rPr>
        <w:t xml:space="preserve">Fundamental data structures</w:t>
      </w:r>
    </w:p>
    <w:p>
      <w:pPr>
        <w:spacing w:after="60" w:line="276"/>
        <w:ind w:left="1512"/>
      </w:pPr>
      <w:r>
        <w:rPr>
          <w:rFonts w:ascii="Times New Roman" w:cs="Times New Roman" w:eastAsia="Times New Roman" w:hAnsi="Times New Roman"/>
          <w:sz w:val="22"/>
          <w:szCs w:val="22"/>
        </w:rPr>
        <w:t xml:space="preserve">a. Arrays, linked lists, stacks, and queues</w:t>
      </w:r>
    </w:p>
    <w:p>
      <w:pPr>
        <w:spacing w:after="60" w:line="276"/>
        <w:ind w:left="1512"/>
      </w:pPr>
      <w:r>
        <w:rPr>
          <w:rFonts w:ascii="Times New Roman" w:cs="Times New Roman" w:eastAsia="Times New Roman" w:hAnsi="Times New Roman"/>
          <w:sz w:val="22"/>
          <w:szCs w:val="22"/>
        </w:rPr>
        <w:t xml:space="preserve">b. Hash tables, collision resolution, and load factor</w:t>
      </w:r>
    </w:p>
    <w:p>
      <w:pPr>
        <w:spacing w:after="60" w:line="276"/>
        <w:ind w:left="1512"/>
      </w:pPr>
      <w:r>
        <w:rPr>
          <w:rFonts w:ascii="Times New Roman" w:cs="Times New Roman" w:eastAsia="Times New Roman" w:hAnsi="Times New Roman"/>
          <w:sz w:val="22"/>
          <w:szCs w:val="22"/>
        </w:rPr>
        <w:t xml:space="preserve">c. Trees, binary search trees, and balancing</w:t>
      </w:r>
    </w:p>
    <w:p>
      <w:pPr>
        <w:spacing w:after="60" w:line="276"/>
        <w:ind w:left="1512"/>
      </w:pPr>
      <w:r>
        <w:rPr>
          <w:rFonts w:ascii="Times New Roman" w:cs="Times New Roman" w:eastAsia="Times New Roman" w:hAnsi="Times New Roman"/>
          <w:sz w:val="22"/>
          <w:szCs w:val="22"/>
        </w:rPr>
        <w:t xml:space="preserve">d. Heaps and priority queues</w:t>
      </w:r>
    </w:p>
    <w:p>
      <w:pPr>
        <w:pStyle w:val="ListParagraph"/>
        <w:numPr>
          <w:ilvl w:val="0"/>
          <w:numId w:val="1"/>
        </w:numPr>
        <w:spacing w:after="80" w:line="276"/>
      </w:pPr>
      <w:r>
        <w:rPr>
          <w:rFonts w:ascii="Times New Roman" w:cs="Times New Roman" w:eastAsia="Times New Roman" w:hAnsi="Times New Roman"/>
          <w:sz w:val="22"/>
          <w:szCs w:val="22"/>
        </w:rPr>
        <w:t xml:space="preserve">Core algorithmic strategies</w:t>
      </w:r>
    </w:p>
    <w:p>
      <w:pPr>
        <w:spacing w:after="60" w:line="276"/>
        <w:ind w:left="1512"/>
      </w:pPr>
      <w:r>
        <w:rPr>
          <w:rFonts w:ascii="Times New Roman" w:cs="Times New Roman" w:eastAsia="Times New Roman" w:hAnsi="Times New Roman"/>
          <w:sz w:val="22"/>
          <w:szCs w:val="22"/>
        </w:rPr>
        <w:t xml:space="preserve">a. Divide and conquer, including sorting and selection</w:t>
      </w:r>
    </w:p>
    <w:p>
      <w:pPr>
        <w:spacing w:after="60" w:line="276"/>
        <w:ind w:left="1512"/>
      </w:pPr>
      <w:r>
        <w:rPr>
          <w:rFonts w:ascii="Times New Roman" w:cs="Times New Roman" w:eastAsia="Times New Roman" w:hAnsi="Times New Roman"/>
          <w:sz w:val="22"/>
          <w:szCs w:val="22"/>
        </w:rPr>
        <w:t xml:space="preserve">b. Greedy algorithms and exchange arguments</w:t>
      </w:r>
    </w:p>
    <w:p>
      <w:pPr>
        <w:spacing w:after="60" w:line="276"/>
        <w:ind w:left="1512"/>
      </w:pPr>
      <w:r>
        <w:rPr>
          <w:rFonts w:ascii="Times New Roman" w:cs="Times New Roman" w:eastAsia="Times New Roman" w:hAnsi="Times New Roman"/>
          <w:sz w:val="22"/>
          <w:szCs w:val="22"/>
        </w:rPr>
        <w:t xml:space="preserve">c. Dynamic programming and memoization</w:t>
      </w:r>
    </w:p>
    <w:p>
      <w:pPr>
        <w:spacing w:after="60" w:line="276"/>
        <w:ind w:left="1512"/>
      </w:pPr>
      <w:r>
        <w:rPr>
          <w:rFonts w:ascii="Times New Roman" w:cs="Times New Roman" w:eastAsia="Times New Roman" w:hAnsi="Times New Roman"/>
          <w:sz w:val="22"/>
          <w:szCs w:val="22"/>
        </w:rPr>
        <w:t xml:space="preserve">d. Recognizing which strategy a problem invites</w:t>
      </w:r>
    </w:p>
    <w:p>
      <w:pPr>
        <w:pStyle w:val="ListParagraph"/>
        <w:numPr>
          <w:ilvl w:val="0"/>
          <w:numId w:val="1"/>
        </w:numPr>
        <w:spacing w:after="80" w:line="276"/>
      </w:pPr>
      <w:r>
        <w:rPr>
          <w:rFonts w:ascii="Times New Roman" w:cs="Times New Roman" w:eastAsia="Times New Roman" w:hAnsi="Times New Roman"/>
          <w:sz w:val="22"/>
          <w:szCs w:val="22"/>
        </w:rPr>
        <w:t xml:space="preserve">Graph algorithms</w:t>
      </w:r>
    </w:p>
    <w:p>
      <w:pPr>
        <w:spacing w:after="60" w:line="276"/>
        <w:ind w:left="1512"/>
      </w:pPr>
      <w:r>
        <w:rPr>
          <w:rFonts w:ascii="Times New Roman" w:cs="Times New Roman" w:eastAsia="Times New Roman" w:hAnsi="Times New Roman"/>
          <w:sz w:val="22"/>
          <w:szCs w:val="22"/>
        </w:rPr>
        <w:t xml:space="preserve">a. Representations and traversal (BFS, DFS)</w:t>
      </w:r>
    </w:p>
    <w:p>
      <w:pPr>
        <w:spacing w:after="60" w:line="276"/>
        <w:ind w:left="1512"/>
      </w:pPr>
      <w:r>
        <w:rPr>
          <w:rFonts w:ascii="Times New Roman" w:cs="Times New Roman" w:eastAsia="Times New Roman" w:hAnsi="Times New Roman"/>
          <w:sz w:val="22"/>
          <w:szCs w:val="22"/>
        </w:rPr>
        <w:t xml:space="preserve">b. Topological ordering and connectivity</w:t>
      </w:r>
    </w:p>
    <w:p>
      <w:pPr>
        <w:spacing w:after="60" w:line="276"/>
        <w:ind w:left="1512"/>
      </w:pPr>
      <w:r>
        <w:rPr>
          <w:rFonts w:ascii="Times New Roman" w:cs="Times New Roman" w:eastAsia="Times New Roman" w:hAnsi="Times New Roman"/>
          <w:sz w:val="22"/>
          <w:szCs w:val="22"/>
        </w:rPr>
        <w:t xml:space="preserve">c. Minimum spanning trees and shortest paths</w:t>
      </w:r>
    </w:p>
    <w:p>
      <w:pPr>
        <w:spacing w:after="60" w:line="276"/>
        <w:ind w:left="1512"/>
      </w:pPr>
      <w:r>
        <w:rPr>
          <w:rFonts w:ascii="Times New Roman" w:cs="Times New Roman" w:eastAsia="Times New Roman" w:hAnsi="Times New Roman"/>
          <w:sz w:val="22"/>
          <w:szCs w:val="22"/>
        </w:rPr>
        <w:t xml:space="preserve">d. Introduction to network flow</w:t>
      </w:r>
    </w:p>
    <w:p>
      <w:pPr>
        <w:pStyle w:val="ListParagraph"/>
        <w:numPr>
          <w:ilvl w:val="0"/>
          <w:numId w:val="1"/>
        </w:numPr>
        <w:spacing w:after="80" w:line="276"/>
      </w:pPr>
      <w:r>
        <w:rPr>
          <w:rFonts w:ascii="Times New Roman" w:cs="Times New Roman" w:eastAsia="Times New Roman" w:hAnsi="Times New Roman"/>
          <w:sz w:val="22"/>
          <w:szCs w:val="22"/>
        </w:rPr>
        <w:t xml:space="preserve">Limits of efficient computation</w:t>
      </w:r>
    </w:p>
    <w:p>
      <w:pPr>
        <w:spacing w:after="60" w:line="276"/>
        <w:ind w:left="1512"/>
      </w:pPr>
      <w:r>
        <w:rPr>
          <w:rFonts w:ascii="Times New Roman" w:cs="Times New Roman" w:eastAsia="Times New Roman" w:hAnsi="Times New Roman"/>
          <w:sz w:val="22"/>
          <w:szCs w:val="22"/>
        </w:rPr>
        <w:t xml:space="preserve">a. P, NP, and NP-completeness</w:t>
      </w:r>
    </w:p>
    <w:p>
      <w:pPr>
        <w:spacing w:after="60" w:line="276"/>
        <w:ind w:left="1512"/>
      </w:pPr>
      <w:r>
        <w:rPr>
          <w:rFonts w:ascii="Times New Roman" w:cs="Times New Roman" w:eastAsia="Times New Roman" w:hAnsi="Times New Roman"/>
          <w:sz w:val="22"/>
          <w:szCs w:val="22"/>
        </w:rPr>
        <w:t xml:space="preserve">b. Reductions as a practical tool</w:t>
      </w:r>
    </w:p>
    <w:p>
      <w:pPr>
        <w:spacing w:after="60" w:line="276"/>
        <w:ind w:left="1512"/>
      </w:pPr>
      <w:r>
        <w:rPr>
          <w:rFonts w:ascii="Times New Roman" w:cs="Times New Roman" w:eastAsia="Times New Roman" w:hAnsi="Times New Roman"/>
          <w:sz w:val="22"/>
          <w:szCs w:val="22"/>
        </w:rPr>
        <w:t xml:space="preserve">c. Approximation algorithms, heuristics, and randomization</w:t>
      </w:r>
    </w:p>
    <w:p>
      <w:pPr>
        <w:keepNext/>
        <w:spacing w:after="140" w:before="280" w:line="276"/>
      </w:pPr>
      <w:r>
        <w:rPr>
          <w:rFonts w:ascii="Times New Roman" w:cs="Times New Roman" w:eastAsia="Times New Roman" w:hAnsi="Times New Roman"/>
          <w:b/>
          <w:bCs/>
          <w:sz w:val="26"/>
          <w:szCs w:val="26"/>
        </w:rPr>
        <w:t xml:space="preserve">Course Learning Outcomes (Student Outcomes)</w:t>
      </w:r>
    </w:p>
    <w:p>
      <w:pPr>
        <w:spacing w:after="120" w:before="0" w:line="276"/>
      </w:pPr>
      <w:r>
        <w:rPr>
          <w:rFonts w:ascii="Times New Roman" w:cs="Times New Roman" w:eastAsia="Times New Roman" w:hAnsi="Times New Roman"/>
          <w:sz w:val="22"/>
          <w:szCs w:val="22"/>
        </w:rPr>
        <w:t xml:space="preserve">Upon completion of this course, students will be able to:</w:t>
      </w:r>
    </w:p>
    <w:p>
      <w:pPr>
        <w:pStyle w:val="ListParagraph"/>
        <w:numPr>
          <w:ilvl w:val="0"/>
          <w:numId w:val="1"/>
        </w:numPr>
        <w:spacing w:after="80" w:line="276"/>
      </w:pPr>
      <w:r>
        <w:rPr>
          <w:rFonts w:ascii="Times New Roman" w:cs="Times New Roman" w:eastAsia="Times New Roman" w:hAnsi="Times New Roman"/>
          <w:sz w:val="22"/>
          <w:szCs w:val="22"/>
        </w:rPr>
        <w:t xml:space="preserve">Analyze the time and space complexity of an algorithm and express the result in correct asymptotic notation.</w:t>
      </w:r>
    </w:p>
    <w:p>
      <w:pPr>
        <w:pStyle w:val="ListParagraph"/>
        <w:numPr>
          <w:ilvl w:val="0"/>
          <w:numId w:val="1"/>
        </w:numPr>
        <w:spacing w:after="80" w:line="276"/>
      </w:pPr>
      <w:r>
        <w:rPr>
          <w:rFonts w:ascii="Times New Roman" w:cs="Times New Roman" w:eastAsia="Times New Roman" w:hAnsi="Times New Roman"/>
          <w:sz w:val="22"/>
          <w:szCs w:val="22"/>
        </w:rPr>
        <w:t xml:space="preserve">Implement, test, and empirically benchmark fundamental sorting, searching, and data-structure algorithms.</w:t>
      </w:r>
    </w:p>
    <w:p>
      <w:pPr>
        <w:pStyle w:val="ListParagraph"/>
        <w:numPr>
          <w:ilvl w:val="0"/>
          <w:numId w:val="1"/>
        </w:numPr>
        <w:spacing w:after="80" w:line="276"/>
      </w:pPr>
      <w:r>
        <w:rPr>
          <w:rFonts w:ascii="Times New Roman" w:cs="Times New Roman" w:eastAsia="Times New Roman" w:hAnsi="Times New Roman"/>
          <w:sz w:val="22"/>
          <w:szCs w:val="22"/>
        </w:rPr>
        <w:t xml:space="preserve">Select and justify an appropriate algorithmic strategy — divide and conquer, greedy, or dynamic programming — for an unfamiliar problem.</w:t>
      </w:r>
    </w:p>
    <w:p>
      <w:pPr>
        <w:pStyle w:val="ListParagraph"/>
        <w:numPr>
          <w:ilvl w:val="0"/>
          <w:numId w:val="1"/>
        </w:numPr>
        <w:spacing w:after="80" w:line="276"/>
      </w:pPr>
      <w:r>
        <w:rPr>
          <w:rFonts w:ascii="Times New Roman" w:cs="Times New Roman" w:eastAsia="Times New Roman" w:hAnsi="Times New Roman"/>
          <w:sz w:val="22"/>
          <w:szCs w:val="22"/>
        </w:rPr>
        <w:t xml:space="preserve">Model a real-world problem as a graph and apply traversal, spanning-tree, and shortest-path algorithms to solve it.</w:t>
      </w:r>
    </w:p>
    <w:p>
      <w:pPr>
        <w:pStyle w:val="ListParagraph"/>
        <w:numPr>
          <w:ilvl w:val="0"/>
          <w:numId w:val="1"/>
        </w:numPr>
        <w:spacing w:after="80" w:line="276"/>
      </w:pPr>
      <w:r>
        <w:rPr>
          <w:rFonts w:ascii="Times New Roman" w:cs="Times New Roman" w:eastAsia="Times New Roman" w:hAnsi="Times New Roman"/>
          <w:sz w:val="22"/>
          <w:szCs w:val="22"/>
        </w:rPr>
        <w:t xml:space="preserve">Recognize computationally intractable problems and design a defensible heuristic or approximation approach.</w:t>
      </w:r>
    </w:p>
    <w:p>
      <w:pPr>
        <w:pStyle w:val="ListParagraph"/>
        <w:numPr>
          <w:ilvl w:val="0"/>
          <w:numId w:val="1"/>
        </w:numPr>
        <w:spacing w:after="80" w:line="276"/>
      </w:pPr>
      <w:r>
        <w:rPr>
          <w:rFonts w:ascii="Times New Roman" w:cs="Times New Roman" w:eastAsia="Times New Roman" w:hAnsi="Times New Roman"/>
          <w:sz w:val="22"/>
          <w:szCs w:val="22"/>
        </w:rPr>
        <w:t xml:space="preserve">Communicate an algorithmic design and its performance characteristics in written form and in a technical presentation.</w:t>
      </w:r>
    </w:p>
    <w:p>
      <w:pPr>
        <w:keepNext/>
        <w:spacing w:after="140" w:before="280" w:line="276"/>
      </w:pPr>
      <w:r>
        <w:rPr>
          <w:rFonts w:ascii="Times New Roman" w:cs="Times New Roman" w:eastAsia="Times New Roman" w:hAnsi="Times New Roman"/>
          <w:b/>
          <w:bCs/>
          <w:sz w:val="26"/>
          <w:szCs w:val="26"/>
        </w:rPr>
        <w:t xml:space="preserve">Outcome Assessment Strategies</w:t>
      </w:r>
    </w:p>
    <w:p>
      <w:pPr>
        <w:spacing w:after="120" w:before="0" w:line="276"/>
      </w:pPr>
      <w:r>
        <w:rPr>
          <w:rFonts w:ascii="Times New Roman" w:cs="Times New Roman" w:eastAsia="Times New Roman" w:hAnsi="Times New Roman"/>
          <w:sz w:val="22"/>
          <w:szCs w:val="22"/>
        </w:rPr>
        <w:t xml:space="preserve">All course outcomes are assessed through the four graded projects. Each project carries a published rubric that maps its criteria to the course learning outcomes above. Implementation quality, correctness testing, written analysis, and the final presentation together provide the evidence of achievement.</w:t>
      </w:r>
    </w:p>
    <w:p>
      <w:pPr>
        <w:keepNext/>
        <w:spacing w:after="140" w:before="280" w:line="276"/>
      </w:pPr>
      <w:r>
        <w:rPr>
          <w:rFonts w:ascii="Times New Roman" w:cs="Times New Roman" w:eastAsia="Times New Roman" w:hAnsi="Times New Roman"/>
          <w:b/>
          <w:bCs/>
          <w:sz w:val="26"/>
          <w:szCs w:val="26"/>
        </w:rPr>
        <w:t xml:space="preserve">Course Format</w:t>
      </w:r>
    </w:p>
    <w:p>
      <w:pPr>
        <w:spacing w:after="120" w:before="0" w:line="276"/>
      </w:pPr>
      <w:r>
        <w:rPr>
          <w:rFonts w:ascii="Times New Roman" w:cs="Times New Roman" w:eastAsia="Times New Roman" w:hAnsi="Times New Roman"/>
          <w:sz w:val="22"/>
          <w:szCs w:val="22"/>
        </w:rPr>
        <w:t xml:space="preserve">This is a three-credit course with an integrated two-hour laboratory component, delivered online. Each week consists of two live 110-minute sessions in which concepts are developed and student work is demonstrated and critiqued.</w:t>
      </w:r>
    </w:p>
    <w:p>
      <w:pPr>
        <w:spacing w:after="120" w:before="0" w:line="276"/>
      </w:pPr>
      <w:r>
        <w:rPr>
          <w:rFonts w:ascii="Times New Roman" w:cs="Times New Roman" w:eastAsia="Times New Roman" w:hAnsi="Times New Roman"/>
          <w:sz w:val="22"/>
          <w:szCs w:val="22"/>
        </w:rPr>
        <w:t xml:space="preserve">The laboratory component is carried out within these sessions: students build, demonstrate, and critique working artifacts during the meeting rather than only afterward, and continue project work between sessions.</w:t>
      </w:r>
    </w:p>
    <w:p>
      <w:pPr>
        <w:spacing w:after="120" w:before="0" w:line="276"/>
      </w:pPr>
      <w:r>
        <w:rPr>
          <w:rFonts w:ascii="Times New Roman" w:cs="Times New Roman" w:eastAsia="Times New Roman" w:hAnsi="Times New Roman"/>
          <w:sz w:val="22"/>
          <w:szCs w:val="22"/>
        </w:rPr>
        <w:t xml:space="preserve">This section is taught as a small-group tutorial and sessions are run accordingly: every student is expected to present current work and take part in critique at each meeting. Details of the individual sessions are given in the weekly schedule below.</w:t>
      </w:r>
    </w:p>
    <w:p>
      <w:pPr>
        <w:keepNext/>
        <w:spacing w:after="140" w:before="280" w:line="276"/>
      </w:pPr>
      <w:r>
        <w:rPr>
          <w:rFonts w:ascii="Times New Roman" w:cs="Times New Roman" w:eastAsia="Times New Roman" w:hAnsi="Times New Roman"/>
          <w:b/>
          <w:bCs/>
          <w:sz w:val="26"/>
          <w:szCs w:val="26"/>
        </w:rPr>
        <w:t xml:space="preserve">Assignments + Grading</w:t>
      </w:r>
    </w:p>
    <w:p>
      <w:pPr>
        <w:spacing w:after="120" w:before="0" w:line="276"/>
      </w:pPr>
      <w:r>
        <w:rPr>
          <w:rFonts w:ascii="Times New Roman" w:cs="Times New Roman" w:eastAsia="Times New Roman" w:hAnsi="Times New Roman"/>
          <w:sz w:val="22"/>
          <w:szCs w:val="22"/>
        </w:rPr>
        <w:t xml:space="preserve">This course is graded entirely on project work. There are no examinations. Each project is a self-contained, hands-on build with a written component; detailed specifications and rubrics are released in class and posted to the course repository at least two weeks before the due date.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500"/>
        <w:gridCol w:w="1860"/>
      </w:tblGrid>
      <w:tr>
        <w:trPr>
          <w:tblHeader/>
        </w:trPr>
        <w:tc>
          <w:tcPr>
            <w:tcW w:type="dxa" w:w="7500"/>
            <w:tcBorders>
              <w:top w:val="single" w:color="000000" w:sz="4"/>
              <w:left w:val="single" w:color="000000" w:sz="4"/>
              <w:bottom w:val="single" w:color="000000" w:sz="4"/>
              <w:right w:val="single" w:color="000000" w:sz="4"/>
            </w:tcBorders>
            <w:shd w:fill="233C5B" w:color="auto" w:val="clear"/>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color w:val="FFFFFF"/>
                <w:sz w:val="20"/>
                <w:szCs w:val="20"/>
              </w:rPr>
              <w:t xml:space="preserve">Description (see Appendix for grading rubrics)</w:t>
            </w:r>
          </w:p>
        </w:tc>
        <w:tc>
          <w:tcPr>
            <w:tcW w:type="dxa" w:w="1860"/>
            <w:tcBorders>
              <w:top w:val="single" w:color="000000" w:sz="4"/>
              <w:left w:val="single" w:color="000000" w:sz="4"/>
              <w:bottom w:val="single" w:color="000000" w:sz="4"/>
              <w:right w:val="single" w:color="000000" w:sz="4"/>
            </w:tcBorders>
            <w:shd w:fill="233C5B" w:color="auto" w:val="clear"/>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color w:val="FFFFFF"/>
                <w:sz w:val="20"/>
                <w:szCs w:val="20"/>
              </w:rPr>
              <w:t xml:space="preserve">Weight %</w:t>
            </w:r>
          </w:p>
        </w:tc>
      </w:tr>
      <w:tr>
        <w:trPr>
          <w:cantSplit/>
        </w:trPr>
        <w:tc>
          <w:tcPr>
            <w:tcW w:type="dxa" w:w="7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2"/>
                <w:szCs w:val="22"/>
              </w:rPr>
              <w:t xml:space="preserve">Project 1 — Complexity Laboratory — </w:t>
            </w:r>
            <w:r>
              <w:rPr>
                <w:rFonts w:ascii="Times New Roman" w:cs="Times New Roman" w:eastAsia="Times New Roman" w:hAnsi="Times New Roman"/>
                <w:sz w:val="22"/>
                <w:szCs w:val="22"/>
              </w:rPr>
              <w:t xml:space="preserve">Implement a family of sorting and searching algorithms from scratch, build a benchmarking harness, and produce a written analysis that reconciles measured runtimes against predicted asymptotic behavior. Students must explain where and why the theoretical model and the machine disagree.</w:t>
            </w:r>
          </w:p>
        </w:tc>
        <w:tc>
          <w:tcPr>
            <w:tcW w:type="dxa" w:w="186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2"/>
                <w:szCs w:val="22"/>
              </w:rPr>
              <w:t xml:space="preserve">25%</w:t>
            </w:r>
          </w:p>
        </w:tc>
      </w:tr>
      <w:tr>
        <w:trPr>
          <w:cantSplit/>
        </w:trPr>
        <w:tc>
          <w:tcPr>
            <w:tcW w:type="dxa" w:w="7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2"/>
                <w:szCs w:val="22"/>
              </w:rPr>
              <w:t xml:space="preserve">Project 2 — Data Structures in Practice — </w:t>
            </w:r>
            <w:r>
              <w:rPr>
                <w:rFonts w:ascii="Times New Roman" w:cs="Times New Roman" w:eastAsia="Times New Roman" w:hAnsi="Times New Roman"/>
                <w:sz w:val="22"/>
                <w:szCs w:val="22"/>
              </w:rPr>
              <w:t xml:space="preserve">Build a hash table and a balanced search tree or priority queue without library support, then apply them to a substantial real dataset. Deliverables include a test suite, a performance comparison against the language’s built-in structures, and a written justification of the design decisions.</w:t>
            </w:r>
          </w:p>
        </w:tc>
        <w:tc>
          <w:tcPr>
            <w:tcW w:type="dxa" w:w="186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2"/>
                <w:szCs w:val="22"/>
              </w:rPr>
              <w:t xml:space="preserve">25%</w:t>
            </w:r>
          </w:p>
        </w:tc>
      </w:tr>
      <w:tr>
        <w:trPr>
          <w:cantSplit/>
        </w:trPr>
        <w:tc>
          <w:tcPr>
            <w:tcW w:type="dxa" w:w="7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2"/>
                <w:szCs w:val="22"/>
              </w:rPr>
              <w:t xml:space="preserve">Project 3 — Optimization Engine — </w:t>
            </w:r>
            <w:r>
              <w:rPr>
                <w:rFonts w:ascii="Times New Roman" w:cs="Times New Roman" w:eastAsia="Times New Roman" w:hAnsi="Times New Roman"/>
                <w:sz w:val="22"/>
                <w:szCs w:val="22"/>
              </w:rPr>
              <w:t xml:space="preserve">Solve a single realistic optimization problem twice — once with a greedy strategy and once with dynamic programming — and report on correctness, optimality, and cost. The written component must state precisely when the greedy approach is safe and when it fails.</w:t>
            </w:r>
          </w:p>
        </w:tc>
        <w:tc>
          <w:tcPr>
            <w:tcW w:type="dxa" w:w="186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2"/>
                <w:szCs w:val="22"/>
              </w:rPr>
              <w:t xml:space="preserve">25%</w:t>
            </w:r>
          </w:p>
        </w:tc>
      </w:tr>
      <w:tr>
        <w:trPr>
          <w:cantSplit/>
        </w:trPr>
        <w:tc>
          <w:tcPr>
            <w:tcW w:type="dxa" w:w="7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2"/>
                <w:szCs w:val="22"/>
              </w:rPr>
              <w:t xml:space="preserve">Project 4 — Capstone: Graph-Based Application — </w:t>
            </w:r>
            <w:r>
              <w:rPr>
                <w:rFonts w:ascii="Times New Roman" w:cs="Times New Roman" w:eastAsia="Times New Roman" w:hAnsi="Times New Roman"/>
                <w:sz w:val="22"/>
                <w:szCs w:val="22"/>
              </w:rPr>
              <w:t xml:space="preserve">Design and build an application driven by graph algorithms (routing, scheduling, dependency resolution, or recommendation) that includes at least one computationally hard subproblem addressed by a heuristic. Deliverables are the working system, a technical report, and a live presentation during the final session block.</w:t>
            </w:r>
          </w:p>
        </w:tc>
        <w:tc>
          <w:tcPr>
            <w:tcW w:type="dxa" w:w="186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2"/>
                <w:szCs w:val="22"/>
              </w:rPr>
              <w:t xml:space="preserve">25%</w:t>
            </w:r>
          </w:p>
        </w:tc>
      </w:tr>
      <w:tr>
        <w:tc>
          <w:tcPr>
            <w:tcW w:type="dxa" w:w="7500"/>
            <w:tcBorders>
              <w:top w:val="single" w:color="000000" w:sz="4"/>
              <w:left w:val="single" w:color="000000" w:sz="4"/>
              <w:bottom w:val="single" w:color="000000" w:sz="4"/>
              <w:right w:val="single" w:color="000000" w:sz="4"/>
            </w:tcBorders>
            <w:shd w:fill="EDEDED" w:color="auto" w:val="clear"/>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2"/>
                <w:szCs w:val="22"/>
              </w:rPr>
              <w:t xml:space="preserve">TOTAL</w:t>
            </w:r>
          </w:p>
        </w:tc>
        <w:tc>
          <w:tcPr>
            <w:tcW w:type="dxa" w:w="1860"/>
            <w:tcBorders>
              <w:top w:val="single" w:color="000000" w:sz="4"/>
              <w:left w:val="single" w:color="000000" w:sz="4"/>
              <w:bottom w:val="single" w:color="000000" w:sz="4"/>
              <w:right w:val="single" w:color="000000" w:sz="4"/>
            </w:tcBorders>
            <w:shd w:fill="EDEDED" w:color="auto" w:val="clear"/>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2"/>
                <w:szCs w:val="22"/>
              </w:rPr>
              <w:t xml:space="preserve">100%</w:t>
            </w:r>
          </w:p>
        </w:tc>
      </w:tr>
    </w:tbl>
    <w:p>
      <w:pPr>
        <w:spacing w:after="120" w:before="120" w:line="276"/>
      </w:pPr>
      <w:r>
        <w:rPr>
          <w:rFonts w:ascii="Times New Roman" w:cs="Times New Roman" w:eastAsia="Times New Roman" w:hAnsi="Times New Roman"/>
          <w:b/>
          <w:bCs/>
          <w:i/>
          <w:iCs/>
          <w:sz w:val="22"/>
          <w:szCs w:val="22"/>
        </w:rPr>
        <w:t xml:space="preserve">Note: </w:t>
      </w:r>
      <w:r>
        <w:rPr>
          <w:rFonts w:ascii="Times New Roman" w:cs="Times New Roman" w:eastAsia="Times New Roman" w:hAnsi="Times New Roman"/>
          <w:sz w:val="22"/>
          <w:szCs w:val="22"/>
        </w:rPr>
        <w:t xml:space="preserve">Every project is submitted as a Git repository plus a written report. Late submissions are reduced by 10% per calendar day unless an extension has been granted in advance (see Course Policies).</w:t>
      </w:r>
    </w:p>
    <w:p>
      <w:pPr>
        <w:keepNext/>
        <w:spacing w:after="140" w:before="280" w:line="276"/>
      </w:pPr>
      <w:r>
        <w:rPr>
          <w:rFonts w:ascii="Times New Roman" w:cs="Times New Roman" w:eastAsia="Times New Roman" w:hAnsi="Times New Roman"/>
          <w:b/>
          <w:bCs/>
          <w:sz w:val="26"/>
          <w:szCs w:val="26"/>
        </w:rPr>
        <w:t xml:space="preserve">Weekly Schedule</w:t>
      </w:r>
    </w:p>
    <w:p>
      <w:pPr>
        <w:spacing w:after="120" w:before="0" w:line="276"/>
      </w:pPr>
      <w:r>
        <w:rPr>
          <w:rFonts w:ascii="Times New Roman" w:cs="Times New Roman" w:eastAsia="Times New Roman" w:hAnsi="Times New Roman"/>
          <w:sz w:val="22"/>
          <w:szCs w:val="22"/>
        </w:rPr>
        <w:t xml:space="preserve">LIU Brooklyn Academic Calendar can be found at this URL: </w:t>
      </w:r>
      <w:hyperlink w:history="1" r:id="rIdx1rr9ueihahxkwoibgf9w">
        <w:r>
          <w:rPr>
            <w:rStyle w:val="Hyperlink"/>
            <w:rFonts w:ascii="Times New Roman" w:cs="Times New Roman" w:eastAsia="Times New Roman" w:hAnsi="Times New Roman"/>
            <w:color w:val="0563C1"/>
            <w:sz w:val="22"/>
            <w:szCs w:val="22"/>
            <w:u w:val="single"/>
          </w:rPr>
          <w:t xml:space="preserve">https://www.liu.edu/brooklyn/Enrollment-Services/Registration/Academic-Calendar</w:t>
        </w:r>
      </w:hyperlink>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20"/>
        <w:gridCol w:w="1440"/>
        <w:gridCol w:w="3120"/>
        <w:gridCol w:w="1180"/>
        <w:gridCol w:w="2800"/>
      </w:tblGrid>
      <w:tr>
        <w:trPr>
          <w:tblHeader/>
        </w:trPr>
        <w:tc>
          <w:tcPr>
            <w:tcW w:type="dxa" w:w="820"/>
            <w:tcBorders>
              <w:top w:val="single" w:color="000000" w:sz="4"/>
              <w:left w:val="single" w:color="000000" w:sz="4"/>
              <w:bottom w:val="single" w:color="000000" w:sz="4"/>
              <w:right w:val="single" w:color="000000" w:sz="4"/>
            </w:tcBorders>
            <w:shd w:fill="C5D9A1" w:color="auto" w:val="clear"/>
            <w:tcMar>
              <w:top w:type="dxa" w:w="60"/>
              <w:left w:type="dxa" w:w="100"/>
              <w:bottom w:type="dxa" w:w="60"/>
              <w:right w:type="dxa" w:w="100"/>
            </w:tcMar>
            <w:vAlign w:val="top"/>
          </w:tcPr>
          <w:p>
            <w:pPr>
              <w:spacing w:after="0"/>
              <w:jc w:val="center"/>
            </w:pPr>
            <w:r>
              <w:rPr>
                <w:rFonts w:ascii="Times New Roman" w:cs="Times New Roman" w:eastAsia="Times New Roman" w:hAnsi="Times New Roman"/>
                <w:b/>
                <w:bCs/>
                <w:sz w:val="20"/>
                <w:szCs w:val="20"/>
              </w:rPr>
              <w:t xml:space="preserve">Unit</w:t>
            </w:r>
          </w:p>
        </w:tc>
        <w:tc>
          <w:tcPr>
            <w:tcW w:type="dxa" w:w="1440"/>
            <w:tcBorders>
              <w:top w:val="single" w:color="000000" w:sz="4"/>
              <w:left w:val="single" w:color="000000" w:sz="4"/>
              <w:bottom w:val="single" w:color="000000" w:sz="4"/>
              <w:right w:val="single" w:color="000000" w:sz="4"/>
            </w:tcBorders>
            <w:shd w:fill="C5D9A1" w:color="auto" w:val="clear"/>
            <w:tcMar>
              <w:top w:type="dxa" w:w="60"/>
              <w:left w:type="dxa" w:w="100"/>
              <w:bottom w:type="dxa" w:w="60"/>
              <w:right w:type="dxa" w:w="100"/>
            </w:tcMar>
            <w:vAlign w:val="top"/>
          </w:tcPr>
          <w:p>
            <w:pPr>
              <w:spacing w:after="0"/>
              <w:jc w:val="center"/>
            </w:pPr>
            <w:r>
              <w:rPr>
                <w:rFonts w:ascii="Times New Roman" w:cs="Times New Roman" w:eastAsia="Times New Roman" w:hAnsi="Times New Roman"/>
                <w:b/>
                <w:bCs/>
                <w:sz w:val="20"/>
                <w:szCs w:val="20"/>
              </w:rPr>
              <w:t xml:space="preserve">Session · Date</w:t>
            </w:r>
          </w:p>
        </w:tc>
        <w:tc>
          <w:tcPr>
            <w:tcW w:type="dxa" w:w="3120"/>
            <w:tcBorders>
              <w:top w:val="single" w:color="000000" w:sz="4"/>
              <w:left w:val="single" w:color="000000" w:sz="4"/>
              <w:bottom w:val="single" w:color="000000" w:sz="4"/>
              <w:right w:val="single" w:color="000000" w:sz="4"/>
            </w:tcBorders>
            <w:shd w:fill="C5D9A1" w:color="auto" w:val="clear"/>
            <w:tcMar>
              <w:top w:type="dxa" w:w="60"/>
              <w:left w:type="dxa" w:w="100"/>
              <w:bottom w:type="dxa" w:w="60"/>
              <w:right w:type="dxa" w:w="100"/>
            </w:tcMar>
            <w:vAlign w:val="top"/>
          </w:tcPr>
          <w:p>
            <w:pPr>
              <w:spacing w:after="0"/>
              <w:jc w:val="center"/>
            </w:pPr>
            <w:r>
              <w:rPr>
                <w:rFonts w:ascii="Times New Roman" w:cs="Times New Roman" w:eastAsia="Times New Roman" w:hAnsi="Times New Roman"/>
                <w:b/>
                <w:bCs/>
                <w:sz w:val="20"/>
                <w:szCs w:val="20"/>
              </w:rPr>
              <w:t xml:space="preserve">Topic</w:t>
            </w:r>
          </w:p>
        </w:tc>
        <w:tc>
          <w:tcPr>
            <w:tcW w:type="dxa" w:w="1180"/>
            <w:tcBorders>
              <w:top w:val="single" w:color="000000" w:sz="4"/>
              <w:left w:val="single" w:color="000000" w:sz="4"/>
              <w:bottom w:val="single" w:color="000000" w:sz="4"/>
              <w:right w:val="single" w:color="000000" w:sz="4"/>
            </w:tcBorders>
            <w:shd w:fill="C5D9A1" w:color="auto" w:val="clear"/>
            <w:tcMar>
              <w:top w:type="dxa" w:w="60"/>
              <w:left w:type="dxa" w:w="100"/>
              <w:bottom w:type="dxa" w:w="60"/>
              <w:right w:type="dxa" w:w="100"/>
            </w:tcMar>
            <w:vAlign w:val="top"/>
          </w:tcPr>
          <w:p>
            <w:pPr>
              <w:spacing w:after="0"/>
              <w:jc w:val="center"/>
            </w:pPr>
            <w:r>
              <w:rPr>
                <w:rFonts w:ascii="Times New Roman" w:cs="Times New Roman" w:eastAsia="Times New Roman" w:hAnsi="Times New Roman"/>
                <w:b/>
                <w:bCs/>
                <w:sz w:val="20"/>
                <w:szCs w:val="20"/>
              </w:rPr>
              <w:t xml:space="preserve">Materials*</w:t>
            </w:r>
          </w:p>
        </w:tc>
        <w:tc>
          <w:tcPr>
            <w:tcW w:type="dxa" w:w="2800"/>
            <w:tcBorders>
              <w:top w:val="single" w:color="000000" w:sz="4"/>
              <w:left w:val="single" w:color="000000" w:sz="4"/>
              <w:bottom w:val="single" w:color="000000" w:sz="4"/>
              <w:right w:val="single" w:color="000000" w:sz="4"/>
            </w:tcBorders>
            <w:shd w:fill="C5D9A1" w:color="auto" w:val="clear"/>
            <w:tcMar>
              <w:top w:type="dxa" w:w="60"/>
              <w:left w:type="dxa" w:w="100"/>
              <w:bottom w:type="dxa" w:w="60"/>
              <w:right w:type="dxa" w:w="100"/>
            </w:tcMar>
            <w:vAlign w:val="top"/>
          </w:tcPr>
          <w:p>
            <w:pPr>
              <w:spacing w:after="0"/>
              <w:jc w:val="center"/>
            </w:pPr>
            <w:r>
              <w:rPr>
                <w:rFonts w:ascii="Times New Roman" w:cs="Times New Roman" w:eastAsia="Times New Roman" w:hAnsi="Times New Roman"/>
                <w:b/>
                <w:bCs/>
                <w:sz w:val="20"/>
                <w:szCs w:val="20"/>
              </w:rPr>
              <w:t xml:space="preserve">To Do</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1</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S1 · Sep 3</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Course overview. Algorithmic thinking, problem specification, and correctness</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01</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Set up Python environment, Git, and GitHub</w:t>
            </w:r>
          </w:p>
          <w:p>
            <w:pPr>
              <w:pStyle w:val="ListParagraph"/>
              <w:numPr>
                <w:ilvl w:val="0"/>
                <w:numId w:val="1"/>
              </w:numPr>
              <w:spacing w:after="80" w:line="276"/>
            </w:pPr>
            <w:r>
              <w:rPr>
                <w:rFonts w:ascii="Times New Roman" w:cs="Times New Roman" w:eastAsia="Times New Roman" w:hAnsi="Times New Roman"/>
                <w:sz w:val="19"/>
                <w:szCs w:val="19"/>
              </w:rPr>
              <w:t xml:space="preserve">Join the course repository</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2</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S2–S3 · Sep 8, Sep 10</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Asymptotic analysis: Big-O, Omega, Theta. Analyzing loops</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02</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01–02</w:t>
            </w:r>
          </w:p>
          <w:p>
            <w:pPr>
              <w:pStyle w:val="ListParagraph"/>
              <w:numPr>
                <w:ilvl w:val="0"/>
                <w:numId w:val="1"/>
              </w:numPr>
              <w:spacing w:after="80" w:line="276"/>
            </w:pPr>
            <w:r>
              <w:rPr>
                <w:rFonts w:ascii="Times New Roman" w:cs="Times New Roman" w:eastAsia="Times New Roman" w:hAnsi="Times New Roman"/>
                <w:sz w:val="19"/>
                <w:szCs w:val="19"/>
              </w:rPr>
              <w:t xml:space="preserve">Project 1 specification released</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3</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S4–S5 · Sep 15, Sep 17</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Recursion, recurrence relations, and the Master Theorem</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03</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03</w:t>
            </w:r>
          </w:p>
          <w:p>
            <w:pPr>
              <w:pStyle w:val="ListParagraph"/>
              <w:numPr>
                <w:ilvl w:val="0"/>
                <w:numId w:val="1"/>
              </w:numPr>
              <w:spacing w:after="80" w:line="276"/>
            </w:pPr>
            <w:r>
              <w:rPr>
                <w:rFonts w:ascii="Times New Roman" w:cs="Times New Roman" w:eastAsia="Times New Roman" w:hAnsi="Times New Roman"/>
                <w:sz w:val="19"/>
                <w:szCs w:val="19"/>
              </w:rPr>
              <w:t xml:space="preserve">Project 1 work begins</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4</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S6–S7 · Sep 22, Sep 24</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Sorting I: insertion, merge, and quicksort. Divide and conquer</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04</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04</w:t>
            </w:r>
          </w:p>
          <w:p>
            <w:pPr>
              <w:pStyle w:val="ListParagraph"/>
              <w:numPr>
                <w:ilvl w:val="0"/>
                <w:numId w:val="1"/>
              </w:numPr>
              <w:spacing w:after="80" w:line="276"/>
            </w:pPr>
            <w:r>
              <w:rPr>
                <w:rFonts w:ascii="Times New Roman" w:cs="Times New Roman" w:eastAsia="Times New Roman" w:hAnsi="Times New Roman"/>
                <w:sz w:val="19"/>
                <w:szCs w:val="19"/>
              </w:rPr>
              <w:t xml:space="preserve">Project 1 in progress</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5</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S8–S9 · Sep 29, Oct 1</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Sorting II: heapsort, lower bounds, counting and radix sort. Searching</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05</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05</w:t>
            </w:r>
          </w:p>
          <w:p>
            <w:pPr>
              <w:pStyle w:val="ListParagraph"/>
              <w:numPr>
                <w:ilvl w:val="0"/>
                <w:numId w:val="1"/>
              </w:numPr>
              <w:spacing w:after="80" w:line="276"/>
            </w:pPr>
            <w:r>
              <w:rPr>
                <w:rFonts w:ascii="Times New Roman" w:cs="Times New Roman" w:eastAsia="Times New Roman" w:hAnsi="Times New Roman"/>
                <w:sz w:val="19"/>
                <w:szCs w:val="19"/>
              </w:rPr>
              <w:t xml:space="preserve">Project 1 due</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6</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S10–S11 · Oct 6, Oct 8</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Hash tables: hashing, collisions, load factor, and amortized cost</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06</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06</w:t>
            </w:r>
          </w:p>
          <w:p>
            <w:pPr>
              <w:pStyle w:val="ListParagraph"/>
              <w:numPr>
                <w:ilvl w:val="0"/>
                <w:numId w:val="1"/>
              </w:numPr>
              <w:spacing w:after="80" w:line="276"/>
            </w:pPr>
            <w:r>
              <w:rPr>
                <w:rFonts w:ascii="Times New Roman" w:cs="Times New Roman" w:eastAsia="Times New Roman" w:hAnsi="Times New Roman"/>
                <w:sz w:val="19"/>
                <w:szCs w:val="19"/>
              </w:rPr>
              <w:t xml:space="preserve">Project 2 specification released</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7</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S12–S13 · Oct 13, Oct 15</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Trees, binary search trees, balancing, heaps and priority queues</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07</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07</w:t>
            </w:r>
          </w:p>
          <w:p>
            <w:pPr>
              <w:pStyle w:val="ListParagraph"/>
              <w:numPr>
                <w:ilvl w:val="0"/>
                <w:numId w:val="1"/>
              </w:numPr>
              <w:spacing w:after="80" w:line="276"/>
            </w:pPr>
            <w:r>
              <w:rPr>
                <w:rFonts w:ascii="Times New Roman" w:cs="Times New Roman" w:eastAsia="Times New Roman" w:hAnsi="Times New Roman"/>
                <w:sz w:val="19"/>
                <w:szCs w:val="19"/>
              </w:rPr>
              <w:t xml:space="preserve">Project 2 in progress</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8</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S14–S15 · Oct 20, Oct 22</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Greedy algorithms: interval scheduling, Huffman coding, exchange arguments</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08</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08</w:t>
            </w:r>
          </w:p>
          <w:p>
            <w:pPr>
              <w:pStyle w:val="ListParagraph"/>
              <w:numPr>
                <w:ilvl w:val="0"/>
                <w:numId w:val="1"/>
              </w:numPr>
              <w:spacing w:after="80" w:line="276"/>
            </w:pPr>
            <w:r>
              <w:rPr>
                <w:rFonts w:ascii="Times New Roman" w:cs="Times New Roman" w:eastAsia="Times New Roman" w:hAnsi="Times New Roman"/>
                <w:sz w:val="19"/>
                <w:szCs w:val="19"/>
              </w:rPr>
              <w:t xml:space="preserve">Project 2 due</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9</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S16–S17 · Oct 27, Oct 29</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Dynamic programming I: memoization, knapsack, longest common subsequence</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09</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09</w:t>
            </w:r>
          </w:p>
          <w:p>
            <w:pPr>
              <w:pStyle w:val="ListParagraph"/>
              <w:numPr>
                <w:ilvl w:val="0"/>
                <w:numId w:val="1"/>
              </w:numPr>
              <w:spacing w:after="80" w:line="276"/>
            </w:pPr>
            <w:r>
              <w:rPr>
                <w:rFonts w:ascii="Times New Roman" w:cs="Times New Roman" w:eastAsia="Times New Roman" w:hAnsi="Times New Roman"/>
                <w:sz w:val="19"/>
                <w:szCs w:val="19"/>
              </w:rPr>
              <w:t xml:space="preserve">Project 3 specification released</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10</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S18–S19 · Nov 3, Nov 5</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Dynamic programming II: edit distance, sequence alignment, DP on trees</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10</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10</w:t>
            </w:r>
          </w:p>
          <w:p>
            <w:pPr>
              <w:pStyle w:val="ListParagraph"/>
              <w:numPr>
                <w:ilvl w:val="0"/>
                <w:numId w:val="1"/>
              </w:numPr>
              <w:spacing w:after="80" w:line="276"/>
            </w:pPr>
            <w:r>
              <w:rPr>
                <w:rFonts w:ascii="Times New Roman" w:cs="Times New Roman" w:eastAsia="Times New Roman" w:hAnsi="Times New Roman"/>
                <w:sz w:val="19"/>
                <w:szCs w:val="19"/>
              </w:rPr>
              <w:t xml:space="preserve">Project 3 in progress</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11</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S20–S21 · Nov 10, Nov 12</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Graphs: representations, BFS, DFS, topological sort, connectivity</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11</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11</w:t>
            </w:r>
          </w:p>
          <w:p>
            <w:pPr>
              <w:pStyle w:val="ListParagraph"/>
              <w:numPr>
                <w:ilvl w:val="0"/>
                <w:numId w:val="1"/>
              </w:numPr>
              <w:spacing w:after="80" w:line="276"/>
            </w:pPr>
            <w:r>
              <w:rPr>
                <w:rFonts w:ascii="Times New Roman" w:cs="Times New Roman" w:eastAsia="Times New Roman" w:hAnsi="Times New Roman"/>
                <w:sz w:val="19"/>
                <w:szCs w:val="19"/>
              </w:rPr>
              <w:t xml:space="preserve">Project 3 in progress</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12</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S22–S23 · Nov 17, Nov 19</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Minimum spanning trees (Kruskal, Prim) and union-find</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12</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12</w:t>
            </w:r>
          </w:p>
          <w:p>
            <w:pPr>
              <w:pStyle w:val="ListParagraph"/>
              <w:numPr>
                <w:ilvl w:val="0"/>
                <w:numId w:val="1"/>
              </w:numPr>
              <w:spacing w:after="80" w:line="276"/>
            </w:pPr>
            <w:r>
              <w:rPr>
                <w:rFonts w:ascii="Times New Roman" w:cs="Times New Roman" w:eastAsia="Times New Roman" w:hAnsi="Times New Roman"/>
                <w:sz w:val="19"/>
                <w:szCs w:val="19"/>
              </w:rPr>
              <w:t xml:space="preserve">Project 3 due</w:t>
            </w:r>
          </w:p>
          <w:p>
            <w:pPr>
              <w:pStyle w:val="ListParagraph"/>
              <w:numPr>
                <w:ilvl w:val="0"/>
                <w:numId w:val="1"/>
              </w:numPr>
              <w:spacing w:after="80" w:line="276"/>
            </w:pPr>
            <w:r>
              <w:rPr>
                <w:rFonts w:ascii="Times New Roman" w:cs="Times New Roman" w:eastAsia="Times New Roman" w:hAnsi="Times New Roman"/>
                <w:sz w:val="19"/>
                <w:szCs w:val="19"/>
              </w:rPr>
              <w:t xml:space="preserve">Project 4 specification released</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13</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S24 · Nov 24</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Shortest paths: Dijkstra, Bellman-Ford, Floyd-Warshall. Introduction to flow</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13</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13</w:t>
            </w:r>
          </w:p>
          <w:p>
            <w:pPr>
              <w:pStyle w:val="ListParagraph"/>
              <w:numPr>
                <w:ilvl w:val="0"/>
                <w:numId w:val="1"/>
              </w:numPr>
              <w:spacing w:after="80" w:line="276"/>
            </w:pPr>
            <w:r>
              <w:rPr>
                <w:rFonts w:ascii="Times New Roman" w:cs="Times New Roman" w:eastAsia="Times New Roman" w:hAnsi="Times New Roman"/>
                <w:sz w:val="19"/>
                <w:szCs w:val="19"/>
              </w:rPr>
              <w:t xml:space="preserve">Capstone proposal due</w:t>
            </w:r>
          </w:p>
          <w:p>
            <w:pPr>
              <w:pStyle w:val="ListParagraph"/>
              <w:numPr>
                <w:ilvl w:val="0"/>
                <w:numId w:val="1"/>
              </w:numPr>
              <w:spacing w:after="80" w:line="276"/>
            </w:pPr>
            <w:r>
              <w:rPr>
                <w:rFonts w:ascii="Times New Roman" w:cs="Times New Roman" w:eastAsia="Times New Roman" w:hAnsi="Times New Roman"/>
                <w:i/>
                <w:iCs/>
                <w:sz w:val="19"/>
                <w:szCs w:val="19"/>
              </w:rPr>
              <w:t xml:space="preserve">Nov 26 — no class (Thanksgiving)</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14</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S25–S26 · Dec 1, Dec 3</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Tractability: P, NP, NP-completeness, and reductions in practice</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14</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14</w:t>
            </w:r>
          </w:p>
          <w:p>
            <w:pPr>
              <w:pStyle w:val="ListParagraph"/>
              <w:numPr>
                <w:ilvl w:val="0"/>
                <w:numId w:val="1"/>
              </w:numPr>
              <w:spacing w:after="80" w:line="276"/>
            </w:pPr>
            <w:r>
              <w:rPr>
                <w:rFonts w:ascii="Times New Roman" w:cs="Times New Roman" w:eastAsia="Times New Roman" w:hAnsi="Times New Roman"/>
                <w:sz w:val="19"/>
                <w:szCs w:val="19"/>
              </w:rPr>
              <w:t xml:space="preserve">Capstone in progress</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15</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S27–S28 · Dec 8, Dec 10</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Approximation, randomization, and heuristics. Capstone presentations</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15</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15</w:t>
            </w:r>
          </w:p>
          <w:p>
            <w:pPr>
              <w:pStyle w:val="ListParagraph"/>
              <w:numPr>
                <w:ilvl w:val="0"/>
                <w:numId w:val="1"/>
              </w:numPr>
              <w:spacing w:after="80" w:line="276"/>
            </w:pPr>
            <w:r>
              <w:rPr>
                <w:rFonts w:ascii="Times New Roman" w:cs="Times New Roman" w:eastAsia="Times New Roman" w:hAnsi="Times New Roman"/>
                <w:sz w:val="19"/>
                <w:szCs w:val="19"/>
              </w:rPr>
              <w:t xml:space="preserve">Capstone presentations</w:t>
            </w:r>
          </w:p>
          <w:p>
            <w:pPr>
              <w:pStyle w:val="ListParagraph"/>
              <w:numPr>
                <w:ilvl w:val="0"/>
                <w:numId w:val="1"/>
              </w:numPr>
              <w:spacing w:after="80" w:line="276"/>
            </w:pPr>
            <w:r>
              <w:rPr>
                <w:rFonts w:ascii="Times New Roman" w:cs="Times New Roman" w:eastAsia="Times New Roman" w:hAnsi="Times New Roman"/>
                <w:sz w:val="19"/>
                <w:szCs w:val="19"/>
              </w:rPr>
              <w:t xml:space="preserve">Final report and code submission</w:t>
            </w:r>
          </w:p>
        </w:tc>
      </w:tr>
      <w:t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Finals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Dec 14–21</w:t>
            </w:r>
          </w:p>
        </w:tc>
        <w:tc>
          <w:tcPr>
            <w:tcW w:type="dxa" w:w="71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b/>
                <w:bCs/>
                <w:sz w:val="19"/>
                <w:szCs w:val="19"/>
              </w:rPr>
              <w:t xml:space="preserve">Final capstone deliverables due. No final examination.</w:t>
            </w:r>
          </w:p>
        </w:tc>
      </w:tr>
    </w:tbl>
    <w:p>
      <w:pPr>
        <w:spacing w:after="120" w:before="100" w:line="276"/>
      </w:pPr>
      <w:r>
        <w:rPr>
          <w:rFonts w:ascii="Times New Roman" w:cs="Times New Roman" w:eastAsia="Times New Roman" w:hAnsi="Times New Roman"/>
          <w:b/>
          <w:bCs/>
          <w:sz w:val="22"/>
          <w:szCs w:val="22"/>
        </w:rPr>
        <w:t xml:space="preserve">Note (*): </w:t>
      </w:r>
      <w:r>
        <w:rPr>
          <w:rFonts w:ascii="Times New Roman" w:cs="Times New Roman" w:eastAsia="Times New Roman" w:hAnsi="Times New Roman"/>
          <w:b/>
          <w:bCs/>
          <w:sz w:val="22"/>
          <w:szCs w:val="22"/>
        </w:rPr>
        <w:t xml:space="preserve">“Notes NN” refers to the instructor-written note set posted in the course repository for that week. The schedule above is aligned to the LIU Brooklyn academic calendar; any session affected by a University holiday, closure, or calendar change will be adjusted and announced in class and on Brightspace (lms.liu.edu) in advance.</w:t>
      </w:r>
    </w:p>
    <w:p>
      <w:pPr>
        <w:keepNext/>
        <w:spacing w:after="140" w:before="280" w:line="276"/>
      </w:pPr>
      <w:r>
        <w:rPr>
          <w:rFonts w:ascii="Times New Roman" w:cs="Times New Roman" w:eastAsia="Times New Roman" w:hAnsi="Times New Roman"/>
          <w:b/>
          <w:bCs/>
          <w:sz w:val="26"/>
          <w:szCs w:val="26"/>
        </w:rPr>
        <w:t xml:space="preserve">Course Time Commitment</w:t>
      </w:r>
    </w:p>
    <w:tbl>
      <w:tblPr>
        <w:tblW w:type="dxa" w:w="5800"/>
        <w:jc w:val="center"/>
        <w:tblBorders>
          <w:top w:val="single" w:color="auto" w:sz="4"/>
          <w:left w:val="single" w:color="auto" w:sz="4"/>
          <w:bottom w:val="single" w:color="auto" w:sz="4"/>
          <w:right w:val="single" w:color="auto" w:sz="4"/>
          <w:insideH w:val="single" w:color="auto" w:sz="4"/>
          <w:insideV w:val="single" w:color="auto" w:sz="4"/>
        </w:tblBorders>
      </w:tblPr>
      <w:tblGrid>
        <w:gridCol w:w="3400"/>
        <w:gridCol w:w="2400"/>
      </w:tblGrid>
      <w:tr>
        <w:tc>
          <w:tcPr>
            <w:tcW w:type="dxa" w:w="3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Synchronous class sessions</w:t>
            </w:r>
          </w:p>
        </w:tc>
        <w:tc>
          <w:tcPr>
            <w:tcW w:type="dxa" w:w="2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51 h (28 sessions × 1.83 h)</w:t>
            </w:r>
          </w:p>
        </w:tc>
      </w:tr>
      <w:tr>
        <w:tc>
          <w:tcPr>
            <w:tcW w:type="dxa" w:w="3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Review of posted notes</w:t>
            </w:r>
          </w:p>
        </w:tc>
        <w:tc>
          <w:tcPr>
            <w:tcW w:type="dxa" w:w="2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30 h</w:t>
            </w:r>
          </w:p>
        </w:tc>
      </w:tr>
      <w:tr>
        <w:tc>
          <w:tcPr>
            <w:tcW w:type="dxa" w:w="3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Project 1 — Complexity Laboratory</w:t>
            </w:r>
          </w:p>
        </w:tc>
        <w:tc>
          <w:tcPr>
            <w:tcW w:type="dxa" w:w="2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17 h</w:t>
            </w:r>
          </w:p>
        </w:tc>
      </w:tr>
      <w:tr>
        <w:tc>
          <w:tcPr>
            <w:tcW w:type="dxa" w:w="3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Project 2 — Data Structures in Practice</w:t>
            </w:r>
          </w:p>
        </w:tc>
        <w:tc>
          <w:tcPr>
            <w:tcW w:type="dxa" w:w="2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20 h</w:t>
            </w:r>
          </w:p>
        </w:tc>
      </w:tr>
      <w:tr>
        <w:tc>
          <w:tcPr>
            <w:tcW w:type="dxa" w:w="3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Project 3 — Optimization Engine</w:t>
            </w:r>
          </w:p>
        </w:tc>
        <w:tc>
          <w:tcPr>
            <w:tcW w:type="dxa" w:w="2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20 h</w:t>
            </w:r>
          </w:p>
        </w:tc>
      </w:tr>
      <w:tr>
        <w:tc>
          <w:tcPr>
            <w:tcW w:type="dxa" w:w="3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Project 4 — Capstone and presentation</w:t>
            </w:r>
          </w:p>
        </w:tc>
        <w:tc>
          <w:tcPr>
            <w:tcW w:type="dxa" w:w="2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22 h</w:t>
            </w:r>
          </w:p>
        </w:tc>
      </w:tr>
      <w:tr>
        <w:tc>
          <w:tcPr>
            <w:tcW w:type="dxa" w:w="3400"/>
            <w:tcBorders>
              <w:top w:val="single" w:color="000000" w:sz="4"/>
              <w:left w:val="single" w:color="000000" w:sz="4"/>
              <w:bottom w:val="single" w:color="000000" w:sz="4"/>
              <w:right w:val="single" w:color="000000" w:sz="4"/>
            </w:tcBorders>
            <w:shd w:fill="EDEDED" w:color="auto" w:val="clear"/>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0"/>
                <w:szCs w:val="20"/>
              </w:rPr>
              <w:t xml:space="preserve">Total</w:t>
            </w:r>
          </w:p>
        </w:tc>
        <w:tc>
          <w:tcPr>
            <w:tcW w:type="dxa" w:w="2400"/>
            <w:tcBorders>
              <w:top w:val="single" w:color="000000" w:sz="4"/>
              <w:left w:val="single" w:color="000000" w:sz="4"/>
              <w:bottom w:val="single" w:color="000000" w:sz="4"/>
              <w:right w:val="single" w:color="000000" w:sz="4"/>
            </w:tcBorders>
            <w:shd w:fill="EDEDED" w:color="auto" w:val="clear"/>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0"/>
                <w:szCs w:val="20"/>
              </w:rPr>
              <w:t xml:space="preserve">160 h</w:t>
            </w:r>
          </w:p>
        </w:tc>
      </w:tr>
    </w:tbl>
    <w:p>
      <w:pPr>
        <w:keepNext/>
        <w:spacing w:after="140" w:before="280" w:line="276"/>
      </w:pPr>
      <w:r>
        <w:rPr>
          <w:rFonts w:ascii="Times New Roman" w:cs="Times New Roman" w:eastAsia="Times New Roman" w:hAnsi="Times New Roman"/>
          <w:b/>
          <w:bCs/>
          <w:sz w:val="26"/>
          <w:szCs w:val="26"/>
        </w:rPr>
        <w:t xml:space="preserve">Course Policies</w:t>
      </w:r>
    </w:p>
    <w:p>
      <w:pPr>
        <w:pStyle w:val="ListParagraph"/>
        <w:numPr>
          <w:ilvl w:val="0"/>
          <w:numId w:val="1"/>
        </w:numPr>
        <w:spacing w:after="80" w:line="276"/>
      </w:pPr>
      <w:r>
        <w:rPr>
          <w:rFonts w:ascii="Times New Roman" w:cs="Times New Roman" w:eastAsia="Times New Roman" w:hAnsi="Times New Roman"/>
          <w:sz w:val="22"/>
          <w:szCs w:val="22"/>
        </w:rPr>
        <w:t xml:space="preserve">All class sessions are held live on Google Meet at the scheduled times. Students are expected to attend, to have their development environment running, and to be able to share their screen when demonstrating work.</w:t>
      </w:r>
    </w:p>
    <w:p>
      <w:pPr>
        <w:pStyle w:val="ListParagraph"/>
        <w:numPr>
          <w:ilvl w:val="0"/>
          <w:numId w:val="1"/>
        </w:numPr>
        <w:spacing w:after="80" w:line="276"/>
      </w:pPr>
      <w:r>
        <w:rPr>
          <w:rFonts w:ascii="Times New Roman" w:cs="Times New Roman" w:eastAsia="Times New Roman" w:hAnsi="Times New Roman"/>
          <w:sz w:val="22"/>
          <w:szCs w:val="22"/>
        </w:rPr>
        <w:t xml:space="preserve">Modes of communication for this course are Brightspace (lms.liu.edu) and email. Expect a reply within 24 hours.</w:t>
      </w:r>
    </w:p>
    <w:p>
      <w:pPr>
        <w:pStyle w:val="ListParagraph"/>
        <w:numPr>
          <w:ilvl w:val="0"/>
          <w:numId w:val="1"/>
        </w:numPr>
        <w:spacing w:after="80" w:line="276"/>
      </w:pPr>
      <w:r>
        <w:rPr>
          <w:rFonts w:ascii="Times New Roman" w:cs="Times New Roman" w:eastAsia="Times New Roman" w:hAnsi="Times New Roman"/>
          <w:sz w:val="22"/>
          <w:szCs w:val="22"/>
        </w:rPr>
        <w:t xml:space="preserve">Virtual office hours are held by appointment. Email the instructor to schedule; requests are accommodated within normal business hours wherever possible.</w:t>
      </w:r>
    </w:p>
    <w:p>
      <w:pPr>
        <w:pStyle w:val="ListParagraph"/>
        <w:numPr>
          <w:ilvl w:val="0"/>
          <w:numId w:val="1"/>
        </w:numPr>
        <w:spacing w:after="80" w:line="276"/>
      </w:pPr>
      <w:r>
        <w:rPr>
          <w:rFonts w:ascii="Times New Roman" w:cs="Times New Roman" w:eastAsia="Times New Roman" w:hAnsi="Times New Roman"/>
          <w:sz w:val="22"/>
          <w:szCs w:val="22"/>
        </w:rPr>
        <w:t xml:space="preserve">All course notes, examples, and project specifications are distributed through the course repository. Students are responsible for pulling the current version before each session.</w:t>
      </w:r>
    </w:p>
    <w:p>
      <w:pPr>
        <w:pStyle w:val="ListParagraph"/>
        <w:numPr>
          <w:ilvl w:val="0"/>
          <w:numId w:val="1"/>
        </w:numPr>
        <w:spacing w:after="80" w:line="276"/>
      </w:pPr>
      <w:r>
        <w:rPr>
          <w:rFonts w:ascii="Times New Roman" w:cs="Times New Roman" w:eastAsia="Times New Roman" w:hAnsi="Times New Roman"/>
          <w:sz w:val="22"/>
          <w:szCs w:val="22"/>
        </w:rPr>
        <w:t xml:space="preserve">Every project is submitted through Brightspace as a link to the student’s Git repository, together with the written report. Commit history is part of the evidence of individual work.</w:t>
      </w:r>
    </w:p>
    <w:p>
      <w:pPr>
        <w:pStyle w:val="ListParagraph"/>
        <w:numPr>
          <w:ilvl w:val="0"/>
          <w:numId w:val="1"/>
        </w:numPr>
        <w:spacing w:after="80" w:line="276"/>
      </w:pPr>
      <w:r>
        <w:rPr>
          <w:rFonts w:ascii="Times New Roman" w:cs="Times New Roman" w:eastAsia="Times New Roman" w:hAnsi="Times New Roman"/>
          <w:sz w:val="22"/>
          <w:szCs w:val="22"/>
        </w:rPr>
        <w:t xml:space="preserve">Late work is reduced by 10% per calendar day. Extensions for project deliverables are granted only for a documented medical or family emergency, and must be requested before the deadline by email to the instructor.</w:t>
      </w:r>
    </w:p>
    <w:p>
      <w:pPr>
        <w:pStyle w:val="ListParagraph"/>
        <w:numPr>
          <w:ilvl w:val="0"/>
          <w:numId w:val="1"/>
        </w:numPr>
        <w:spacing w:after="80" w:line="276"/>
      </w:pPr>
      <w:r>
        <w:rPr>
          <w:rFonts w:ascii="Times New Roman" w:cs="Times New Roman" w:eastAsia="Times New Roman" w:hAnsi="Times New Roman"/>
          <w:sz w:val="22"/>
          <w:szCs w:val="22"/>
        </w:rPr>
        <w:t xml:space="preserve">Projects are individual work unless a specification explicitly designates the project as a team deliverable. Students may discuss approaches with one another, but submitted code, models, and writing must be the student’s own.</w:t>
      </w:r>
    </w:p>
    <w:p>
      <w:pPr>
        <w:pStyle w:val="ListParagraph"/>
        <w:numPr>
          <w:ilvl w:val="0"/>
          <w:numId w:val="1"/>
        </w:numPr>
        <w:spacing w:after="80" w:line="276"/>
      </w:pPr>
      <w:r>
        <w:rPr>
          <w:rFonts w:ascii="Times New Roman" w:cs="Times New Roman" w:eastAsia="Times New Roman" w:hAnsi="Times New Roman"/>
          <w:sz w:val="22"/>
          <w:szCs w:val="22"/>
        </w:rPr>
        <w:t xml:space="preserve">Generative AI tools may be used as a learning aid and are treated the same as any other reference: any AI-assisted portion of a submission must be disclosed in the project report, and the student must be able to explain and defend every line of what they submit. Undisclosed use, or submitted work the student cannot explain, is handled under the Academic Integrity policy in the Appendix.</w:t>
      </w:r>
    </w:p>
    <w:p>
      <w:pPr>
        <w:pStyle w:val="ListParagraph"/>
        <w:numPr>
          <w:ilvl w:val="0"/>
          <w:numId w:val="1"/>
        </w:numPr>
        <w:spacing w:after="80" w:line="276"/>
      </w:pPr>
      <w:r>
        <w:rPr>
          <w:rFonts w:ascii="Times New Roman" w:cs="Times New Roman" w:eastAsia="Times New Roman" w:hAnsi="Times New Roman"/>
          <w:sz w:val="22"/>
          <w:szCs w:val="22"/>
        </w:rPr>
        <w:t xml:space="preserve">Recording of class sessions by students is not permitted without the instructor’s prior written consent.</w:t>
      </w:r>
    </w:p>
    <w:p>
      <w:pPr>
        <w:spacing w:after="140" w:before="320"/>
      </w:pPr>
      <w:r>
        <w:rPr>
          <w:rFonts w:ascii="Times New Roman" w:cs="Times New Roman" w:eastAsia="Times New Roman" w:hAnsi="Times New Roman"/>
          <w:b/>
          <w:bCs/>
          <w:sz w:val="30"/>
          <w:szCs w:val="30"/>
        </w:rPr>
        <w:t xml:space="preserve">Disclaimer:</w:t>
      </w:r>
    </w:p>
    <w:p>
      <w:pPr>
        <w:spacing w:after="120" w:before="0" w:line="276"/>
      </w:pPr>
      <w:r>
        <w:rPr>
          <w:rFonts w:ascii="Times New Roman" w:cs="Times New Roman" w:eastAsia="Times New Roman" w:hAnsi="Times New Roman"/>
          <w:b/>
          <w:bCs/>
          <w:i/>
          <w:iCs/>
          <w:sz w:val="22"/>
          <w:szCs w:val="22"/>
        </w:rPr>
        <w:t xml:space="preserve">The syllabus is a tentative schedule and the instructor reserves the right to make any changes to fulfill the objectives of the courses and meet students’ needs.</w:t>
      </w:r>
    </w:p>
    <w:p>
      <w:pPr>
        <w:pageBreakBefore/>
        <w:spacing w:after="160"/>
      </w:pPr>
      <w:r>
        <w:rPr>
          <w:rFonts w:ascii="Times New Roman" w:cs="Times New Roman" w:eastAsia="Times New Roman" w:hAnsi="Times New Roman"/>
          <w:b/>
          <w:bCs/>
          <w:sz w:val="32"/>
          <w:szCs w:val="32"/>
        </w:rPr>
        <w:t xml:space="preserve">Appendix</w:t>
      </w:r>
    </w:p>
    <w:p>
      <w:pPr>
        <w:keepNext/>
        <w:spacing w:after="140" w:before="280" w:line="276"/>
      </w:pPr>
      <w:r>
        <w:rPr>
          <w:rFonts w:ascii="Times New Roman" w:cs="Times New Roman" w:eastAsia="Times New Roman" w:hAnsi="Times New Roman"/>
          <w:b/>
          <w:bCs/>
          <w:sz w:val="26"/>
          <w:szCs w:val="26"/>
        </w:rPr>
        <w:t xml:space="preserve">Academic Integrity</w:t>
      </w:r>
    </w:p>
    <w:p>
      <w:pPr>
        <w:spacing w:after="120" w:before="0" w:line="276"/>
      </w:pPr>
      <w:r>
        <w:rPr>
          <w:rFonts w:ascii="Times New Roman" w:cs="Times New Roman" w:eastAsia="Times New Roman" w:hAnsi="Times New Roman"/>
          <w:sz w:val="22"/>
          <w:szCs w:val="22"/>
        </w:rPr>
        <w:t xml:space="preserve">Academic dishonesty is unacceptable and will not be tolerated. Cheating, forgery, plagiarism and collusion in dishonest acts undermine the educational mission of Long Island University and the students' personal and intellectual growth. Policies and resources related to plagiarism can be found at: </w:t>
      </w:r>
      <w:hyperlink w:history="1" r:id="rIdqcqeghmcbpamn-dv52t_o">
        <w:r>
          <w:rPr>
            <w:rStyle w:val="Hyperlink"/>
            <w:rFonts w:ascii="Times New Roman" w:cs="Times New Roman" w:eastAsia="Times New Roman" w:hAnsi="Times New Roman"/>
            <w:color w:val="0563C1"/>
            <w:sz w:val="22"/>
            <w:szCs w:val="22"/>
            <w:u w:val="single"/>
          </w:rPr>
          <w:t xml:space="preserve">http://liu.brooklyn.libguides.com/avoid-detect-plagiarism</w:t>
        </w:r>
      </w:hyperlink>
      <w:r>
        <w:rPr>
          <w:rFonts w:ascii="Times New Roman" w:cs="Times New Roman" w:eastAsia="Times New Roman" w:hAnsi="Times New Roman"/>
          <w:sz w:val="22"/>
          <w:szCs w:val="22"/>
        </w:rPr>
        <w:t xml:space="preserve">. University academic policies can be found in the current course bulletin, located here: </w:t>
      </w:r>
      <w:hyperlink w:history="1" r:id="rIdkjipfxb4jjbxvqqqu4i4r">
        <w:r>
          <w:rPr>
            <w:rStyle w:val="Hyperlink"/>
            <w:rFonts w:ascii="Times New Roman" w:cs="Times New Roman" w:eastAsia="Times New Roman" w:hAnsi="Times New Roman"/>
            <w:color w:val="0563C1"/>
            <w:sz w:val="22"/>
            <w:szCs w:val="22"/>
            <w:u w:val="single"/>
          </w:rPr>
          <w:t xml:space="preserve">http://www.liu.edu/Brooklyn/Enrollment-Services/Registration/Academic-Bulletins</w:t>
        </w:r>
      </w:hyperlink>
      <w:r>
        <w:rPr>
          <w:rFonts w:ascii="Times New Roman" w:cs="Times New Roman" w:eastAsia="Times New Roman" w:hAnsi="Times New Roman"/>
          <w:sz w:val="22"/>
          <w:szCs w:val="22"/>
        </w:rPr>
        <w:t xml:space="preserve">.</w:t>
      </w:r>
    </w:p>
    <w:p>
      <w:pPr>
        <w:keepNext/>
        <w:spacing w:after="140" w:before="280" w:line="276"/>
      </w:pPr>
      <w:r>
        <w:rPr>
          <w:rFonts w:ascii="Times New Roman" w:cs="Times New Roman" w:eastAsia="Times New Roman" w:hAnsi="Times New Roman"/>
          <w:b/>
          <w:bCs/>
          <w:sz w:val="26"/>
          <w:szCs w:val="26"/>
        </w:rPr>
        <w:t xml:space="preserve">Copyright and Intellectual Property</w:t>
      </w:r>
    </w:p>
    <w:p>
      <w:pPr>
        <w:spacing w:after="120" w:before="0" w:line="276"/>
      </w:pPr>
      <w:r>
        <w:rPr>
          <w:rFonts w:ascii="Times New Roman" w:cs="Times New Roman" w:eastAsia="Times New Roman" w:hAnsi="Times New Roman"/>
          <w:sz w:val="22"/>
          <w:szCs w:val="22"/>
        </w:rPr>
        <w:t xml:space="preserve">Students are advised not to make copies or take digital pictures of paid and copyrighted cases, textbooks, chapters, or any other material that is copyrighted without permission of the publisher or the owner.</w:t>
      </w:r>
    </w:p>
    <w:p>
      <w:pPr>
        <w:keepNext/>
        <w:spacing w:after="140" w:before="280" w:line="276"/>
      </w:pPr>
      <w:r>
        <w:rPr>
          <w:rFonts w:ascii="Times New Roman" w:cs="Times New Roman" w:eastAsia="Times New Roman" w:hAnsi="Times New Roman"/>
          <w:b/>
          <w:bCs/>
          <w:sz w:val="26"/>
          <w:szCs w:val="26"/>
        </w:rPr>
        <w:t xml:space="preserve">Anti-Harassment</w:t>
      </w:r>
    </w:p>
    <w:p>
      <w:pPr>
        <w:spacing w:after="120" w:before="0" w:line="276"/>
      </w:pPr>
      <w:r>
        <w:rPr>
          <w:rFonts w:ascii="Times New Roman" w:cs="Times New Roman" w:eastAsia="Times New Roman" w:hAnsi="Times New Roman"/>
          <w:sz w:val="22"/>
          <w:szCs w:val="22"/>
        </w:rPr>
        <w:t xml:space="preserve">LIU Brooklyn is committed to maintaining a learning and working environment that is free of bias, prejudice, discrimination and harassment. Its anti-harassment/discrimination policy and complaint procedure can be accessed here: </w:t>
      </w:r>
      <w:hyperlink w:history="1" r:id="rIdj5yrl-pgvc0lwhuypa3ty">
        <w:r>
          <w:rPr>
            <w:rStyle w:val="Hyperlink"/>
            <w:rFonts w:ascii="Times New Roman" w:cs="Times New Roman" w:eastAsia="Times New Roman" w:hAnsi="Times New Roman"/>
            <w:color w:val="0563C1"/>
            <w:sz w:val="22"/>
            <w:szCs w:val="22"/>
            <w:u w:val="single"/>
          </w:rPr>
          <w:t xml:space="preserve">https://www.liu.edu/Human-Resources/Human-Resources-Policies/Anti-Harassment-Discrimination-Policy</w:t>
        </w:r>
      </w:hyperlink>
    </w:p>
    <w:p>
      <w:pPr>
        <w:keepNext/>
        <w:spacing w:after="140" w:before="280" w:line="276"/>
      </w:pPr>
      <w:r>
        <w:rPr>
          <w:rFonts w:ascii="Times New Roman" w:cs="Times New Roman" w:eastAsia="Times New Roman" w:hAnsi="Times New Roman"/>
          <w:b/>
          <w:bCs/>
          <w:sz w:val="26"/>
          <w:szCs w:val="26"/>
        </w:rPr>
        <w:t xml:space="preserve">Student Support Services</w:t>
      </w:r>
    </w:p>
    <w:p>
      <w:pPr>
        <w:spacing w:after="120" w:before="0" w:line="276"/>
      </w:pPr>
      <w:r>
        <w:rPr>
          <w:rFonts w:ascii="Times New Roman" w:cs="Times New Roman" w:eastAsia="Times New Roman" w:hAnsi="Times New Roman"/>
          <w:sz w:val="22"/>
          <w:szCs w:val="22"/>
        </w:rPr>
        <w:t xml:space="preserve">Student support services could be found by following these links:</w:t>
      </w:r>
    </w:p>
    <w:p>
      <w:pPr>
        <w:spacing w:after="60" w:before="0" w:line="276"/>
      </w:pPr>
      <w:hyperlink w:history="1" r:id="rIdgjaqjxdhgs-hasmz2bcr3">
        <w:r>
          <w:rPr>
            <w:rStyle w:val="Hyperlink"/>
            <w:rFonts w:ascii="Times New Roman" w:cs="Times New Roman" w:eastAsia="Times New Roman" w:hAnsi="Times New Roman"/>
            <w:color w:val="0563C1"/>
            <w:sz w:val="22"/>
            <w:szCs w:val="22"/>
            <w:u w:val="single"/>
          </w:rPr>
          <w:t xml:space="preserve">Enrollment Services</w:t>
        </w:r>
      </w:hyperlink>
    </w:p>
    <w:p>
      <w:pPr>
        <w:spacing w:after="60" w:before="0" w:line="276"/>
      </w:pPr>
      <w:hyperlink w:history="1" r:id="rIdlehcubzvzdjutiqoc0kzi">
        <w:r>
          <w:rPr>
            <w:rStyle w:val="Hyperlink"/>
            <w:rFonts w:ascii="Times New Roman" w:cs="Times New Roman" w:eastAsia="Times New Roman" w:hAnsi="Times New Roman"/>
            <w:color w:val="0563C1"/>
            <w:sz w:val="22"/>
            <w:szCs w:val="22"/>
            <w:u w:val="single"/>
          </w:rPr>
          <w:t xml:space="preserve">Writing Center</w:t>
        </w:r>
      </w:hyperlink>
    </w:p>
    <w:p>
      <w:pPr>
        <w:spacing w:after="60" w:before="0" w:line="276"/>
      </w:pPr>
      <w:hyperlink w:history="1" r:id="rIdvtgxx280_9hswokaj5q-f">
        <w:r>
          <w:rPr>
            <w:rStyle w:val="Hyperlink"/>
            <w:rFonts w:ascii="Times New Roman" w:cs="Times New Roman" w:eastAsia="Times New Roman" w:hAnsi="Times New Roman"/>
            <w:color w:val="0563C1"/>
            <w:sz w:val="22"/>
            <w:szCs w:val="22"/>
            <w:u w:val="single"/>
          </w:rPr>
          <w:t xml:space="preserve">Learning Communities</w:t>
        </w:r>
      </w:hyperlink>
    </w:p>
    <w:p>
      <w:pPr>
        <w:keepNext/>
        <w:spacing w:after="140" w:before="280" w:line="276"/>
      </w:pPr>
      <w:r>
        <w:rPr>
          <w:rFonts w:ascii="Times New Roman" w:cs="Times New Roman" w:eastAsia="Times New Roman" w:hAnsi="Times New Roman"/>
          <w:b/>
          <w:bCs/>
          <w:sz w:val="26"/>
          <w:szCs w:val="26"/>
        </w:rPr>
        <w:t xml:space="preserve">Accommodations for Students with Disability/Special Needs</w:t>
      </w:r>
    </w:p>
    <w:p>
      <w:pPr>
        <w:spacing w:after="120" w:before="0" w:line="276"/>
      </w:pPr>
      <w:r>
        <w:rPr>
          <w:rFonts w:ascii="Times New Roman" w:cs="Times New Roman" w:eastAsia="Times New Roman" w:hAnsi="Times New Roman"/>
          <w:sz w:val="22"/>
          <w:szCs w:val="22"/>
        </w:rPr>
        <w:t xml:space="preserve">In accordance with Section 504 of the Rehabilitation Act of 1973 and the Americans with Disabilities Act of 1990, including changes made by the Americans with Disabilities Amendments Act of 2008, the Long Island University does not discriminate against qualified individuals with disabilities. If you are a student with a documented disability/impairment (Psychological, Neurological, Chronic Medical, Learning Disability, Sensory, Physical) and require reasonable accommodations, please provide me with an Accommodation Letter from Student Support Services (see below for contact information).</w:t>
      </w:r>
    </w:p>
    <w:p>
      <w:pPr>
        <w:spacing w:after="40" w:before="0" w:line="276"/>
      </w:pPr>
      <w:r>
        <w:rPr>
          <w:rFonts w:ascii="Times New Roman" w:cs="Times New Roman" w:eastAsia="Times New Roman" w:hAnsi="Times New Roman"/>
          <w:sz w:val="22"/>
          <w:szCs w:val="22"/>
        </w:rPr>
        <w:t xml:space="preserve">Location: Sloan Building – 1st Floor</w:t>
      </w:r>
    </w:p>
    <w:p>
      <w:pPr>
        <w:spacing w:after="40" w:before="0" w:line="276"/>
      </w:pPr>
      <w:r>
        <w:rPr>
          <w:rFonts w:ascii="Times New Roman" w:cs="Times New Roman" w:eastAsia="Times New Roman" w:hAnsi="Times New Roman"/>
          <w:sz w:val="22"/>
          <w:szCs w:val="22"/>
        </w:rPr>
        <w:t xml:space="preserve">Contact Number: (718) 488-1044</w:t>
      </w:r>
    </w:p>
    <w:p>
      <w:pPr>
        <w:spacing w:after="40" w:before="0" w:line="276"/>
      </w:pPr>
      <w:r>
        <w:rPr>
          <w:rFonts w:ascii="Times New Roman" w:cs="Times New Roman" w:eastAsia="Times New Roman" w:hAnsi="Times New Roman"/>
          <w:sz w:val="22"/>
          <w:szCs w:val="22"/>
        </w:rPr>
        <w:t xml:space="preserve">Hours of operation: Monday – Friday 9am-5pm</w:t>
      </w:r>
    </w:p>
    <w:p>
      <w:pPr>
        <w:spacing w:after="120" w:before="0" w:line="276"/>
      </w:pPr>
      <w:r>
        <w:rPr>
          <w:rFonts w:ascii="Times New Roman" w:cs="Times New Roman" w:eastAsia="Times New Roman" w:hAnsi="Times New Roman"/>
          <w:sz w:val="22"/>
          <w:szCs w:val="22"/>
        </w:rPr>
        <w:t xml:space="preserve">Email address: </w:t>
      </w:r>
      <w:hyperlink w:history="1" r:id="rId-21ywqyir2gsxa3vfschf">
        <w:r>
          <w:rPr>
            <w:rStyle w:val="Hyperlink"/>
            <w:rFonts w:ascii="Times New Roman" w:cs="Times New Roman" w:eastAsia="Times New Roman" w:hAnsi="Times New Roman"/>
            <w:color w:val="0563C1"/>
            <w:sz w:val="22"/>
            <w:szCs w:val="22"/>
            <w:u w:val="single"/>
          </w:rPr>
          <w:t xml:space="preserve">studentsupportservices@brooklyn.liu.edu</w:t>
        </w:r>
      </w:hyperlink>
    </w:p>
    <w:p>
      <w:pPr>
        <w:keepNext/>
        <w:spacing w:after="140" w:before="280" w:line="276"/>
      </w:pPr>
      <w:r>
        <w:rPr>
          <w:rFonts w:ascii="Times New Roman" w:cs="Times New Roman" w:eastAsia="Times New Roman" w:hAnsi="Times New Roman"/>
          <w:b/>
          <w:bCs/>
          <w:sz w:val="26"/>
          <w:szCs w:val="26"/>
        </w:rPr>
        <w:t xml:space="preserve">Student Grievance Procedure</w:t>
      </w:r>
    </w:p>
    <w:p>
      <w:pPr>
        <w:spacing w:after="120" w:before="0" w:line="276"/>
      </w:pPr>
      <w:r>
        <w:rPr>
          <w:rFonts w:ascii="Times New Roman" w:cs="Times New Roman" w:eastAsia="Times New Roman" w:hAnsi="Times New Roman"/>
          <w:sz w:val="22"/>
          <w:szCs w:val="22"/>
        </w:rPr>
        <w:t xml:space="preserve">The procedure for resolving student grievances is outlined in the Brooklyn Campus Undergraduate and Graduate Bulletins. Students are advised to adhere to the following steps:</w:t>
      </w:r>
    </w:p>
    <w:p>
      <w:pPr>
        <w:pStyle w:val="ListParagraph"/>
        <w:numPr>
          <w:ilvl w:val="0"/>
          <w:numId w:val="2"/>
        </w:numPr>
        <w:spacing w:after="80" w:line="276"/>
      </w:pPr>
      <w:r>
        <w:rPr>
          <w:rFonts w:ascii="Times New Roman" w:cs="Times New Roman" w:eastAsia="Times New Roman" w:hAnsi="Times New Roman"/>
          <w:sz w:val="22"/>
          <w:szCs w:val="22"/>
        </w:rPr>
        <w:t xml:space="preserve">Students must first speak directly with the involved instructor or student to resolve the problem.</w:t>
      </w:r>
    </w:p>
    <w:p>
      <w:pPr>
        <w:pStyle w:val="ListParagraph"/>
        <w:numPr>
          <w:ilvl w:val="0"/>
          <w:numId w:val="2"/>
        </w:numPr>
        <w:spacing w:after="80" w:line="276"/>
      </w:pPr>
      <w:r>
        <w:rPr>
          <w:rFonts w:ascii="Times New Roman" w:cs="Times New Roman" w:eastAsia="Times New Roman" w:hAnsi="Times New Roman"/>
          <w:sz w:val="22"/>
          <w:szCs w:val="22"/>
        </w:rPr>
        <w:t xml:space="preserve">If direct discussions fail, students may request a conference with their faculty advisor.</w:t>
      </w:r>
    </w:p>
    <w:p>
      <w:pPr>
        <w:pStyle w:val="ListParagraph"/>
        <w:numPr>
          <w:ilvl w:val="0"/>
          <w:numId w:val="2"/>
        </w:numPr>
        <w:spacing w:after="80" w:line="276"/>
      </w:pPr>
      <w:r>
        <w:rPr>
          <w:rFonts w:ascii="Times New Roman" w:cs="Times New Roman" w:eastAsia="Times New Roman" w:hAnsi="Times New Roman"/>
          <w:sz w:val="22"/>
          <w:szCs w:val="22"/>
        </w:rPr>
        <w:t xml:space="preserve">If step 2 is not successful in resolving the problem, students may request a conference with the Program Director/Department Chair.</w:t>
      </w:r>
    </w:p>
    <w:p>
      <w:pPr>
        <w:pStyle w:val="ListParagraph"/>
        <w:numPr>
          <w:ilvl w:val="0"/>
          <w:numId w:val="2"/>
        </w:numPr>
        <w:spacing w:after="80" w:line="276"/>
      </w:pPr>
      <w:r>
        <w:rPr>
          <w:rFonts w:ascii="Times New Roman" w:cs="Times New Roman" w:eastAsia="Times New Roman" w:hAnsi="Times New Roman"/>
          <w:sz w:val="22"/>
          <w:szCs w:val="22"/>
        </w:rPr>
        <w:t xml:space="preserve">If step 3 is not successful, students may submit a written request to discuss the matter with the Assistant Dean/Dean.</w:t>
      </w:r>
    </w:p>
    <w:p>
      <w:pPr>
        <w:keepNext/>
        <w:spacing w:after="140" w:before="280" w:line="276"/>
      </w:pPr>
      <w:r>
        <w:rPr>
          <w:rFonts w:ascii="Times New Roman" w:cs="Times New Roman" w:eastAsia="Times New Roman" w:hAnsi="Times New Roman"/>
          <w:b/>
          <w:bCs/>
          <w:sz w:val="26"/>
          <w:szCs w:val="26"/>
        </w:rPr>
        <w:t xml:space="preserve">Cancellation of Classes</w:t>
      </w:r>
    </w:p>
    <w:p>
      <w:pPr>
        <w:spacing w:after="120" w:before="0" w:line="276"/>
      </w:pPr>
      <w:r>
        <w:rPr>
          <w:rFonts w:ascii="Times New Roman" w:cs="Times New Roman" w:eastAsia="Times New Roman" w:hAnsi="Times New Roman"/>
          <w:sz w:val="22"/>
          <w:szCs w:val="22"/>
        </w:rPr>
        <w:t xml:space="preserve">In case of extremely bad weather, emergency or serious incident(s), students are encouraged to check the university website, course specific announcements, and/or LIU Safe App. Alternatively, one may call Campus Security at (718) 488-1071 to determine if the entire campus is closed.</w:t>
      </w:r>
    </w:p>
    <w:p>
      <w:pPr>
        <w:keepNext/>
        <w:spacing w:after="140" w:before="280" w:line="276"/>
      </w:pPr>
      <w:r>
        <w:rPr>
          <w:rFonts w:ascii="Times New Roman" w:cs="Times New Roman" w:eastAsia="Times New Roman" w:hAnsi="Times New Roman"/>
          <w:b/>
          <w:bCs/>
          <w:sz w:val="26"/>
          <w:szCs w:val="26"/>
        </w:rPr>
        <w:t xml:space="preserve">Student Affairs</w:t>
      </w:r>
    </w:p>
    <w:p>
      <w:pPr>
        <w:spacing w:after="120" w:before="0" w:line="276"/>
      </w:pPr>
      <w:r>
        <w:rPr>
          <w:rFonts w:ascii="Times New Roman" w:cs="Times New Roman" w:eastAsia="Times New Roman" w:hAnsi="Times New Roman"/>
          <w:sz w:val="22"/>
          <w:szCs w:val="22"/>
        </w:rPr>
        <w:t xml:space="preserve">For any questions regarding online accommodation and academic affairs, contact student affairs at: </w:t>
      </w:r>
      <w:hyperlink w:history="1" r:id="rId51mcfafd_4_ojrpmfu-v8">
        <w:r>
          <w:rPr>
            <w:rStyle w:val="Hyperlink"/>
            <w:rFonts w:ascii="Times New Roman" w:cs="Times New Roman" w:eastAsia="Times New Roman" w:hAnsi="Times New Roman"/>
            <w:color w:val="0563C1"/>
            <w:sz w:val="22"/>
            <w:szCs w:val="22"/>
            <w:u w:val="single"/>
          </w:rPr>
          <w:t xml:space="preserve">studentaffairs@liu.edu</w:t>
        </w:r>
      </w:hyperlink>
    </w:p>
    <w:p>
      <w:pPr>
        <w:keepNext/>
        <w:spacing w:after="140" w:before="280" w:line="276"/>
      </w:pPr>
      <w:r>
        <w:rPr>
          <w:rFonts w:ascii="Times New Roman" w:cs="Times New Roman" w:eastAsia="Times New Roman" w:hAnsi="Times New Roman"/>
          <w:b/>
          <w:bCs/>
          <w:sz w:val="26"/>
          <w:szCs w:val="26"/>
        </w:rPr>
        <w:t xml:space="preserve">Technical issues</w:t>
      </w:r>
    </w:p>
    <w:p>
      <w:pPr>
        <w:spacing w:after="120" w:before="0" w:line="276"/>
      </w:pPr>
      <w:r>
        <w:rPr>
          <w:rFonts w:ascii="Times New Roman" w:cs="Times New Roman" w:eastAsia="Times New Roman" w:hAnsi="Times New Roman"/>
          <w:sz w:val="22"/>
          <w:szCs w:val="22"/>
        </w:rPr>
        <w:t xml:space="preserve">For any technical issues related to Brightspace (lms.liu.edu), LIU emails, Google Meet, or campus network access, contact IT as follows:</w:t>
      </w:r>
    </w:p>
    <w:p>
      <w:pPr>
        <w:spacing w:after="40" w:before="0" w:line="276"/>
      </w:pPr>
      <w:r>
        <w:rPr>
          <w:rFonts w:ascii="Times New Roman" w:cs="Times New Roman" w:eastAsia="Times New Roman" w:hAnsi="Times New Roman"/>
          <w:sz w:val="22"/>
          <w:szCs w:val="22"/>
        </w:rPr>
        <w:t xml:space="preserve">Email: </w:t>
      </w:r>
      <w:hyperlink w:history="1" r:id="rId1m9x26fv242obgnmq6piy">
        <w:r>
          <w:rPr>
            <w:rStyle w:val="Hyperlink"/>
            <w:rFonts w:ascii="Times New Roman" w:cs="Times New Roman" w:eastAsia="Times New Roman" w:hAnsi="Times New Roman"/>
            <w:color w:val="0563C1"/>
            <w:sz w:val="22"/>
            <w:szCs w:val="22"/>
            <w:u w:val="single"/>
          </w:rPr>
          <w:t xml:space="preserve">It@liu.edu</w:t>
        </w:r>
      </w:hyperlink>
    </w:p>
    <w:p>
      <w:pPr>
        <w:spacing w:after="120" w:before="0" w:line="276"/>
      </w:pPr>
      <w:r>
        <w:rPr>
          <w:rFonts w:ascii="Times New Roman" w:cs="Times New Roman" w:eastAsia="Times New Roman" w:hAnsi="Times New Roman"/>
          <w:sz w:val="22"/>
          <w:szCs w:val="22"/>
        </w:rPr>
        <w:t xml:space="preserve">Phone: 718-488-3300 (Monday-Friday 9am to 5pm)</w:t>
      </w:r>
    </w:p>
    <w:p>
      <w:pPr>
        <w:keepNext/>
        <w:spacing w:after="140" w:before="280" w:line="276"/>
      </w:pPr>
      <w:r>
        <w:rPr>
          <w:rFonts w:ascii="Times New Roman" w:cs="Times New Roman" w:eastAsia="Times New Roman" w:hAnsi="Times New Roman"/>
          <w:b/>
          <w:bCs/>
          <w:sz w:val="26"/>
          <w:szCs w:val="26"/>
        </w:rPr>
        <w:t xml:space="preserve">Safety Issues</w:t>
      </w:r>
    </w:p>
    <w:p>
      <w:pPr>
        <w:spacing w:after="120" w:before="0" w:line="276"/>
      </w:pPr>
      <w:r>
        <w:rPr>
          <w:rFonts w:ascii="Times New Roman" w:cs="Times New Roman" w:eastAsia="Times New Roman" w:hAnsi="Times New Roman"/>
          <w:sz w:val="22"/>
          <w:szCs w:val="22"/>
        </w:rPr>
        <w:t xml:space="preserve">For safety issues, check the following link: </w:t>
      </w:r>
      <w:hyperlink w:history="1" r:id="rIdd6sy6noltxeuskf1uqpfl">
        <w:r>
          <w:rPr>
            <w:rStyle w:val="Hyperlink"/>
            <w:rFonts w:ascii="Times New Roman" w:cs="Times New Roman" w:eastAsia="Times New Roman" w:hAnsi="Times New Roman"/>
            <w:color w:val="0563C1"/>
            <w:sz w:val="22"/>
            <w:szCs w:val="22"/>
            <w:u w:val="single"/>
          </w:rPr>
          <w:t xml:space="preserve">https://www.liu.edu/brooklyn/public-safety</w:t>
        </w:r>
      </w:hyperlink>
    </w:p>
    <w:p>
      <w:pPr>
        <w:spacing w:after="120" w:before="0" w:line="276"/>
      </w:pPr>
      <w:r>
        <w:rPr>
          <w:rFonts w:ascii="Times New Roman" w:cs="Times New Roman" w:eastAsia="Times New Roman" w:hAnsi="Times New Roman"/>
          <w:sz w:val="22"/>
          <w:szCs w:val="22"/>
        </w:rPr>
        <w:t xml:space="preserve">Phone: 718-488-1078</w:t>
      </w:r>
    </w:p>
    <w:p>
      <w:pPr>
        <w:keepNext/>
        <w:spacing w:after="140" w:before="280" w:line="276"/>
      </w:pPr>
      <w:r>
        <w:rPr>
          <w:rFonts w:ascii="Times New Roman" w:cs="Times New Roman" w:eastAsia="Times New Roman" w:hAnsi="Times New Roman"/>
          <w:b/>
          <w:bCs/>
          <w:sz w:val="26"/>
          <w:szCs w:val="26"/>
        </w:rPr>
        <w:t xml:space="preserve">Grading Scale</w:t>
      </w:r>
    </w:p>
    <w:p>
      <w:pPr>
        <w:spacing w:after="120" w:before="0" w:line="276"/>
      </w:pPr>
      <w:r>
        <w:rPr>
          <w:rFonts w:ascii="Times New Roman" w:cs="Times New Roman" w:eastAsia="Times New Roman" w:hAnsi="Times New Roman"/>
          <w:sz w:val="22"/>
          <w:szCs w:val="22"/>
        </w:rPr>
        <w:t xml:space="preserve">Grades are distributed according to the following LIU grading scale.</w:t>
      </w:r>
    </w:p>
    <w:tbl>
      <w:tblPr>
        <w:tblW w:type="dxa" w:w="6500"/>
        <w:jc w:val="center"/>
        <w:tblBorders>
          <w:top w:val="single" w:color="auto" w:sz="4"/>
          <w:left w:val="single" w:color="auto" w:sz="4"/>
          <w:bottom w:val="single" w:color="auto" w:sz="4"/>
          <w:right w:val="single" w:color="auto" w:sz="4"/>
          <w:insideH w:val="single" w:color="auto" w:sz="4"/>
          <w:insideV w:val="single" w:color="auto" w:sz="4"/>
        </w:tblBorders>
      </w:tblPr>
      <w:tblGrid>
        <w:gridCol w:w="1800"/>
        <w:gridCol w:w="1500"/>
        <w:gridCol w:w="1400"/>
        <w:gridCol w:w="1800"/>
      </w:tblGrid>
      <w:tr>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19"/>
                <w:szCs w:val="19"/>
              </w:rPr>
              <w:t xml:space="preserve">UNDERGRADUATE</w:t>
            </w:r>
          </w:p>
        </w:tc>
        <w:tc>
          <w:tcPr>
            <w:tcW w:type="dxa" w:w="1500"/>
            <w:tcBorders>
              <w:top w:val="none"/>
              <w:left w:val="single" w:color="000000" w:sz="4"/>
              <w:bottom w:val="single" w:color="000000" w:sz="4"/>
              <w:right w:val="none"/>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22"/>
                <w:szCs w:val="22"/>
              </w:rPr>
              <w:t xml:space="preserve"/>
            </w:r>
          </w:p>
        </w:tc>
        <w:tc>
          <w:tcPr>
            <w:tcW w:type="dxa" w:w="1400"/>
            <w:tcBorders>
              <w:top w:val="none"/>
              <w:left w:val="none"/>
              <w:bottom w:val="single" w:color="000000" w:sz="4"/>
              <w:right w:val="none"/>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22"/>
                <w:szCs w:val="22"/>
              </w:rPr>
              <w:t xml:space="preserve"/>
            </w:r>
          </w:p>
        </w:tc>
        <w:tc>
          <w:tcPr>
            <w:tcW w:type="dxa" w:w="1800"/>
            <w:tcBorders>
              <w:top w:val="none"/>
              <w:left w:val="none"/>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22"/>
                <w:szCs w:val="22"/>
              </w:rPr>
              <w:t xml:space="preserve"/>
            </w:r>
          </w:p>
        </w:tc>
      </w:tr>
      <w:tr>
        <w:trPr>
          <w:tblHeader/>
        </w:trPr>
        <w:tc>
          <w:tcPr>
            <w:tcW w:type="dxa" w:w="1800"/>
            <w:tcBorders>
              <w:top w:val="single" w:color="000000" w:sz="4"/>
              <w:left w:val="single" w:color="000000" w:sz="4"/>
              <w:bottom w:val="single" w:color="000000" w:sz="4"/>
              <w:right w:val="single" w:color="000000" w:sz="4"/>
            </w:tcBorders>
            <w:shd w:fill="233C5B" w:color="auto" w:val="clear"/>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color w:val="FFFFFF"/>
                <w:sz w:val="19"/>
                <w:szCs w:val="19"/>
              </w:rPr>
              <w:t xml:space="preserve">Quality</w:t>
            </w:r>
          </w:p>
        </w:tc>
        <w:tc>
          <w:tcPr>
            <w:tcW w:type="dxa" w:w="1500"/>
            <w:tcBorders>
              <w:top w:val="single" w:color="000000" w:sz="4"/>
              <w:left w:val="single" w:color="000000" w:sz="4"/>
              <w:bottom w:val="single" w:color="000000" w:sz="4"/>
              <w:right w:val="single" w:color="000000" w:sz="4"/>
            </w:tcBorders>
            <w:shd w:fill="233C5B" w:color="auto" w:val="clear"/>
            <w:tcMar>
              <w:top w:type="dxa" w:w="60"/>
              <w:left w:type="dxa" w:w="100"/>
              <w:bottom w:type="dxa" w:w="60"/>
              <w:right w:type="dxa" w:w="100"/>
            </w:tcMar>
            <w:vAlign w:val="top"/>
          </w:tcPr>
          <w:p>
            <w:pPr>
              <w:spacing w:after="0"/>
              <w:jc w:val="center"/>
            </w:pPr>
            <w:r>
              <w:rPr>
                <w:rFonts w:ascii="Times New Roman" w:cs="Times New Roman" w:eastAsia="Times New Roman" w:hAnsi="Times New Roman"/>
                <w:b/>
                <w:bCs/>
                <w:color w:val="FFFFFF"/>
                <w:sz w:val="19"/>
                <w:szCs w:val="19"/>
              </w:rPr>
              <w:t xml:space="preserve">Letter Grade</w:t>
            </w:r>
          </w:p>
        </w:tc>
        <w:tc>
          <w:tcPr>
            <w:tcW w:type="dxa" w:w="1400"/>
            <w:tcBorders>
              <w:top w:val="single" w:color="000000" w:sz="4"/>
              <w:left w:val="single" w:color="000000" w:sz="4"/>
              <w:bottom w:val="single" w:color="000000" w:sz="4"/>
              <w:right w:val="single" w:color="000000" w:sz="4"/>
            </w:tcBorders>
            <w:shd w:fill="233C5B" w:color="auto" w:val="clear"/>
            <w:tcMar>
              <w:top w:type="dxa" w:w="60"/>
              <w:left w:type="dxa" w:w="100"/>
              <w:bottom w:type="dxa" w:w="60"/>
              <w:right w:type="dxa" w:w="100"/>
            </w:tcMar>
            <w:vAlign w:val="top"/>
          </w:tcPr>
          <w:p>
            <w:pPr>
              <w:spacing w:after="0"/>
              <w:jc w:val="center"/>
            </w:pPr>
            <w:r>
              <w:rPr>
                <w:rFonts w:ascii="Times New Roman" w:cs="Times New Roman" w:eastAsia="Times New Roman" w:hAnsi="Times New Roman"/>
                <w:b/>
                <w:bCs/>
                <w:color w:val="FFFFFF"/>
                <w:sz w:val="19"/>
                <w:szCs w:val="19"/>
              </w:rPr>
              <w:t xml:space="preserve">Range %</w:t>
            </w:r>
          </w:p>
        </w:tc>
        <w:tc>
          <w:tcPr>
            <w:tcW w:type="dxa" w:w="1800"/>
            <w:tcBorders>
              <w:top w:val="single" w:color="000000" w:sz="4"/>
              <w:left w:val="single" w:color="000000" w:sz="4"/>
              <w:bottom w:val="single" w:color="000000" w:sz="4"/>
              <w:right w:val="single" w:color="000000" w:sz="4"/>
            </w:tcBorders>
            <w:shd w:fill="233C5B" w:color="auto" w:val="clear"/>
            <w:tcMar>
              <w:top w:type="dxa" w:w="60"/>
              <w:left w:type="dxa" w:w="100"/>
              <w:bottom w:type="dxa" w:w="60"/>
              <w:right w:type="dxa" w:w="100"/>
            </w:tcMar>
            <w:vAlign w:val="top"/>
          </w:tcPr>
          <w:p>
            <w:pPr>
              <w:spacing w:after="0"/>
              <w:jc w:val="center"/>
            </w:pPr>
            <w:r>
              <w:rPr>
                <w:rFonts w:ascii="Times New Roman" w:cs="Times New Roman" w:eastAsia="Times New Roman" w:hAnsi="Times New Roman"/>
                <w:b/>
                <w:bCs/>
                <w:color w:val="FFFFFF"/>
                <w:sz w:val="19"/>
                <w:szCs w:val="19"/>
              </w:rPr>
              <w:t xml:space="preserve">GPA/ Quality Pts.</w:t>
            </w:r>
          </w:p>
        </w:tc>
      </w:tr>
      <w:tr>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Outstanding</w:t>
            </w:r>
          </w:p>
        </w:tc>
        <w:tc>
          <w:tcPr>
            <w:tcW w:type="dxa" w:w="1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A</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93 - 100</w:t>
            </w:r>
          </w:p>
        </w:tc>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4</w:t>
            </w:r>
          </w:p>
        </w:tc>
      </w:tr>
      <w:tr>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Excellent</w:t>
            </w:r>
          </w:p>
        </w:tc>
        <w:tc>
          <w:tcPr>
            <w:tcW w:type="dxa" w:w="1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A-</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90 - 92</w:t>
            </w:r>
          </w:p>
        </w:tc>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3.67</w:t>
            </w:r>
          </w:p>
        </w:tc>
      </w:tr>
      <w:tr>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Very Good</w:t>
            </w:r>
          </w:p>
        </w:tc>
        <w:tc>
          <w:tcPr>
            <w:tcW w:type="dxa" w:w="1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B+</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87 - 89</w:t>
            </w:r>
          </w:p>
        </w:tc>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3.33</w:t>
            </w:r>
          </w:p>
        </w:tc>
      </w:tr>
      <w:tr>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Average</w:t>
            </w:r>
          </w:p>
        </w:tc>
        <w:tc>
          <w:tcPr>
            <w:tcW w:type="dxa" w:w="1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B</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83 - 86</w:t>
            </w:r>
          </w:p>
        </w:tc>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3</w:t>
            </w:r>
          </w:p>
        </w:tc>
      </w:tr>
      <w:tr>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Nearly Average</w:t>
            </w:r>
          </w:p>
        </w:tc>
        <w:tc>
          <w:tcPr>
            <w:tcW w:type="dxa" w:w="1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B-</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80 - 82</w:t>
            </w:r>
          </w:p>
        </w:tc>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2.67</w:t>
            </w:r>
          </w:p>
        </w:tc>
      </w:tr>
      <w:tr>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Below Average</w:t>
            </w:r>
          </w:p>
        </w:tc>
        <w:tc>
          <w:tcPr>
            <w:tcW w:type="dxa" w:w="1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C+</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77 - 79</w:t>
            </w:r>
          </w:p>
        </w:tc>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2.33</w:t>
            </w:r>
          </w:p>
        </w:tc>
      </w:tr>
      <w:tr>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Marginal</w:t>
            </w:r>
          </w:p>
        </w:tc>
        <w:tc>
          <w:tcPr>
            <w:tcW w:type="dxa" w:w="1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C</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73 - 76</w:t>
            </w:r>
          </w:p>
        </w:tc>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2</w:t>
            </w:r>
          </w:p>
        </w:tc>
      </w:tr>
      <w:tr>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Poor</w:t>
            </w:r>
          </w:p>
        </w:tc>
        <w:tc>
          <w:tcPr>
            <w:tcW w:type="dxa" w:w="1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C-</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68 - 72</w:t>
            </w:r>
          </w:p>
        </w:tc>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1.67</w:t>
            </w:r>
          </w:p>
        </w:tc>
      </w:tr>
      <w:tr>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Unacceptable</w:t>
            </w:r>
          </w:p>
        </w:tc>
        <w:tc>
          <w:tcPr>
            <w:tcW w:type="dxa" w:w="1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D</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60 - 67</w:t>
            </w:r>
          </w:p>
        </w:tc>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1</w:t>
            </w:r>
          </w:p>
        </w:tc>
      </w:tr>
      <w:tr>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Failing</w:t>
            </w:r>
          </w:p>
        </w:tc>
        <w:tc>
          <w:tcPr>
            <w:tcW w:type="dxa" w:w="1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F</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&lt; 60</w:t>
            </w:r>
          </w:p>
        </w:tc>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0</w:t>
            </w:r>
          </w:p>
        </w:tc>
      </w:tr>
    </w:tbl>
    <w:p>
      <w:pPr>
        <w:keepNext/>
        <w:spacing w:after="140" w:before="280" w:line="276"/>
      </w:pPr>
      <w:r>
        <w:rPr>
          <w:rFonts w:ascii="Times New Roman" w:cs="Times New Roman" w:eastAsia="Times New Roman" w:hAnsi="Times New Roman"/>
          <w:b/>
          <w:bCs/>
          <w:sz w:val="26"/>
          <w:szCs w:val="26"/>
        </w:rPr>
        <w:t xml:space="preserve">Grading Rubrics</w:t>
      </w:r>
    </w:p>
    <w:p>
      <w:pPr>
        <w:spacing w:after="120" w:before="0" w:line="276"/>
      </w:pPr>
      <w:r>
        <w:rPr>
          <w:rFonts w:ascii="Times New Roman" w:cs="Times New Roman" w:eastAsia="Times New Roman" w:hAnsi="Times New Roman"/>
          <w:sz w:val="22"/>
          <w:szCs w:val="22"/>
        </w:rPr>
        <w:t xml:space="preserve">The following grading rubrics correspond to the four required projects. Each project rubric is released with its specification and is weighted as follows.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200"/>
        <w:gridCol w:w="1400"/>
        <w:gridCol w:w="3760"/>
      </w:tblGrid>
      <w:tr>
        <w:trPr>
          <w:tblHeader/>
        </w:trPr>
        <w:tc>
          <w:tcPr>
            <w:tcW w:type="dxa" w:w="4200"/>
            <w:tcBorders>
              <w:top w:val="single" w:color="000000" w:sz="4"/>
              <w:left w:val="single" w:color="000000" w:sz="4"/>
              <w:bottom w:val="single" w:color="000000" w:sz="4"/>
              <w:right w:val="single" w:color="000000" w:sz="4"/>
            </w:tcBorders>
            <w:shd w:fill="233C5B" w:color="auto" w:val="clear"/>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color w:val="FFFFFF"/>
                <w:sz w:val="20"/>
                <w:szCs w:val="20"/>
              </w:rPr>
              <w:t xml:space="preserve">Criterion</w:t>
            </w:r>
          </w:p>
        </w:tc>
        <w:tc>
          <w:tcPr>
            <w:tcW w:type="dxa" w:w="1400"/>
            <w:tcBorders>
              <w:top w:val="single" w:color="000000" w:sz="4"/>
              <w:left w:val="single" w:color="000000" w:sz="4"/>
              <w:bottom w:val="single" w:color="000000" w:sz="4"/>
              <w:right w:val="single" w:color="000000" w:sz="4"/>
            </w:tcBorders>
            <w:shd w:fill="233C5B" w:color="auto" w:val="clear"/>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color w:val="FFFFFF"/>
                <w:sz w:val="20"/>
                <w:szCs w:val="20"/>
              </w:rPr>
              <w:t xml:space="preserve">Weight</w:t>
            </w:r>
          </w:p>
        </w:tc>
        <w:tc>
          <w:tcPr>
            <w:tcW w:type="dxa" w:w="3760"/>
            <w:tcBorders>
              <w:top w:val="single" w:color="000000" w:sz="4"/>
              <w:left w:val="single" w:color="000000" w:sz="4"/>
              <w:bottom w:val="single" w:color="000000" w:sz="4"/>
              <w:right w:val="single" w:color="000000" w:sz="4"/>
            </w:tcBorders>
            <w:shd w:fill="233C5B" w:color="auto" w:val="clear"/>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color w:val="FFFFFF"/>
                <w:sz w:val="20"/>
                <w:szCs w:val="20"/>
              </w:rPr>
              <w:t xml:space="preserve">What is assessed</w:t>
            </w:r>
          </w:p>
        </w:tc>
      </w:tr>
      <w:tr>
        <w:tc>
          <w:tcPr>
            <w:tcW w:type="dxa" w:w="42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Correctness and completeness</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0"/>
                <w:szCs w:val="20"/>
              </w:rPr>
              <w:t xml:space="preserve">35%</w:t>
            </w:r>
          </w:p>
        </w:tc>
        <w:tc>
          <w:tcPr>
            <w:tcW w:type="dxa" w:w="376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The artifact does what the specification requires, and the required cases are handled.</w:t>
            </w:r>
          </w:p>
        </w:tc>
      </w:tr>
      <w:tr>
        <w:tc>
          <w:tcPr>
            <w:tcW w:type="dxa" w:w="42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Implementation quality</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0"/>
                <w:szCs w:val="20"/>
              </w:rPr>
              <w:t xml:space="preserve">20%</w:t>
            </w:r>
          </w:p>
        </w:tc>
        <w:tc>
          <w:tcPr>
            <w:tcW w:type="dxa" w:w="376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Structure, readability, and evidence of testing. Commit history shows sustained individual work.</w:t>
            </w:r>
          </w:p>
        </w:tc>
      </w:tr>
      <w:tr>
        <w:tc>
          <w:tcPr>
            <w:tcW w:type="dxa" w:w="42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Analysis and written report</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0"/>
                <w:szCs w:val="20"/>
              </w:rPr>
              <w:t xml:space="preserve">25%</w:t>
            </w:r>
          </w:p>
        </w:tc>
        <w:tc>
          <w:tcPr>
            <w:tcW w:type="dxa" w:w="376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The report explains the design, justifies the decisions, and reports results honestly, including what did not work.</w:t>
            </w:r>
          </w:p>
        </w:tc>
      </w:tr>
      <w:tr>
        <w:tc>
          <w:tcPr>
            <w:tcW w:type="dxa" w:w="42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Demonstration and defense</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0"/>
                <w:szCs w:val="20"/>
              </w:rPr>
              <w:t xml:space="preserve">20%</w:t>
            </w:r>
          </w:p>
        </w:tc>
        <w:tc>
          <w:tcPr>
            <w:tcW w:type="dxa" w:w="376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The student can run the artifact live and answer questions about any part of it.</w:t>
            </w:r>
          </w:p>
        </w:tc>
      </w:tr>
      <w:tr>
        <w:tc>
          <w:tcPr>
            <w:tcW w:type="dxa" w:w="4200"/>
            <w:tcBorders>
              <w:top w:val="single" w:color="000000" w:sz="4"/>
              <w:left w:val="single" w:color="000000" w:sz="4"/>
              <w:bottom w:val="single" w:color="000000" w:sz="4"/>
              <w:right w:val="single" w:color="000000" w:sz="4"/>
            </w:tcBorders>
            <w:shd w:fill="EDEDED" w:color="auto" w:val="clear"/>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0"/>
                <w:szCs w:val="20"/>
              </w:rPr>
              <w:t xml:space="preserve">TOTAL</w:t>
            </w:r>
          </w:p>
        </w:tc>
        <w:tc>
          <w:tcPr>
            <w:tcW w:type="dxa" w:w="1400"/>
            <w:tcBorders>
              <w:top w:val="single" w:color="000000" w:sz="4"/>
              <w:left w:val="single" w:color="000000" w:sz="4"/>
              <w:bottom w:val="single" w:color="000000" w:sz="4"/>
              <w:right w:val="single" w:color="000000" w:sz="4"/>
            </w:tcBorders>
            <w:shd w:fill="EDEDED" w:color="auto" w:val="clear"/>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0"/>
                <w:szCs w:val="20"/>
              </w:rPr>
              <w:t xml:space="preserve">100%</w:t>
            </w:r>
          </w:p>
        </w:tc>
        <w:tc>
          <w:tcPr>
            <w:tcW w:type="dxa" w:w="3760"/>
            <w:tcBorders>
              <w:top w:val="single" w:color="000000" w:sz="4"/>
              <w:left w:val="single" w:color="000000" w:sz="4"/>
              <w:bottom w:val="single" w:color="000000" w:sz="4"/>
              <w:right w:val="single" w:color="000000" w:sz="4"/>
            </w:tcBorders>
            <w:shd w:fill="EDEDED" w:color="auto" w:val="clear"/>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22"/>
                <w:szCs w:val="22"/>
              </w:rPr>
              <w:t xml:space="preserve"/>
            </w:r>
          </w:p>
        </w:tc>
      </w:tr>
    </w:tbl>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rFonts w:ascii="Times New Roman" w:cs="Times New Roman" w:eastAsia="Times New Roman" w:hAnsi="Times New Roman"/>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lxomlvre2o_irdwxzhrxq" Type="http://schemas.openxmlformats.org/officeDocument/2006/relationships/hyperlink" Target="mailto:yair.chaya@liu.edu" TargetMode="External"/><Relationship Id="rIdjgywkv2vok9jjvpusvm8z" Type="http://schemas.openxmlformats.org/officeDocument/2006/relationships/hyperlink" Target="https://meet.google.com/wed-rupa-buw" TargetMode="External"/><Relationship Id="rIdb49jje7tb4jf6wg5n8-n4" Type="http://schemas.openxmlformats.org/officeDocument/2006/relationships/hyperlink" Target="https://tel.meet/wed-rupa-buw?pin=6117991107787" TargetMode="External"/><Relationship Id="rId0ictwijb4dmymcofg82q7" Type="http://schemas.openxmlformats.org/officeDocument/2006/relationships/hyperlink" Target="https://lms.liu.edu" TargetMode="External"/><Relationship Id="rIdx1rr9ueihahxkwoibgf9w" Type="http://schemas.openxmlformats.org/officeDocument/2006/relationships/hyperlink" Target="https://www.liu.edu/brooklyn/Enrollment-Services/Registration/Academic-Calendar" TargetMode="External"/><Relationship Id="rIdqcqeghmcbpamn-dv52t_o" Type="http://schemas.openxmlformats.org/officeDocument/2006/relationships/hyperlink" Target="http://liu.brooklyn.libguides.com/avoid-detect-plagiarism" TargetMode="External"/><Relationship Id="rIdkjipfxb4jjbxvqqqu4i4r" Type="http://schemas.openxmlformats.org/officeDocument/2006/relationships/hyperlink" Target="http://www.liu.edu/Brooklyn/Enrollment-Services/Registration/Academic-Bulletins" TargetMode="External"/><Relationship Id="rIdj5yrl-pgvc0lwhuypa3ty" Type="http://schemas.openxmlformats.org/officeDocument/2006/relationships/hyperlink" Target="https://www.liu.edu/Human-Resources/Human-Resources-Policies/Anti-Harassment-Discrimination-Policy" TargetMode="External"/><Relationship Id="rIdgjaqjxdhgs-hasmz2bcr3" Type="http://schemas.openxmlformats.org/officeDocument/2006/relationships/hyperlink" Target="https://www.liu.edu/brooklyn/Enrollment-Services" TargetMode="External"/><Relationship Id="rIdlehcubzvzdjutiqoc0kzi" Type="http://schemas.openxmlformats.org/officeDocument/2006/relationships/hyperlink" Target="https://www.liu.edu/brooklyn/Academics/Writing-Center" TargetMode="External"/><Relationship Id="rIdvtgxx280_9hswokaj5q-f" Type="http://schemas.openxmlformats.org/officeDocument/2006/relationships/hyperlink" Target="https://www.liu.edu/brooklyn/Academics" TargetMode="External"/><Relationship Id="rId-21ywqyir2gsxa3vfschf" Type="http://schemas.openxmlformats.org/officeDocument/2006/relationships/hyperlink" Target="mailto:studentsupportservices@brooklyn.liu.edu" TargetMode="External"/><Relationship Id="rId51mcfafd_4_ojrpmfu-v8" Type="http://schemas.openxmlformats.org/officeDocument/2006/relationships/hyperlink" Target="mailto:studentaffairs@liu.edu" TargetMode="External"/><Relationship Id="rId1m9x26fv242obgnmq6piy" Type="http://schemas.openxmlformats.org/officeDocument/2006/relationships/hyperlink" Target="mailto:It@liu.edu" TargetMode="External"/><Relationship Id="rIdd6sy6noltxeuskf1uqpfl" Type="http://schemas.openxmlformats.org/officeDocument/2006/relationships/hyperlink" Target="https://www.liu.edu/brooklyn/public-safety" TargetMode="External"/><Relationship Id="rId8" Type="http://schemas.openxmlformats.org/officeDocument/2006/relationships/image" Target="media/140f75d0dcb3b8d1888f4707c93525eba18910fa.png"/><Relationship Id="rId2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230 Introduction to Algorithms — Syllabus, Fall 2026</dc:title>
  <dc:creator>Professor Yair Chaya</dc:creator>
  <dc:description>Course syllabus for AI 230 Introduction to Algorithms, Long Island University Brooklyn, Fall 2026</dc:description>
  <cp:lastModifiedBy>Un-named</cp:lastModifiedBy>
  <cp:revision>1</cp:revision>
  <dcterms:created xsi:type="dcterms:W3CDTF">2026-09-02T02:50:00.217Z</dcterms:created>
  <dcterms:modified xsi:type="dcterms:W3CDTF">2026-09-02T02:50:00.217Z</dcterms:modified>
</cp:coreProperties>
</file>

<file path=docProps/custom.xml><?xml version="1.0" encoding="utf-8"?>
<Properties xmlns="http://schemas.openxmlformats.org/officeDocument/2006/custom-properties" xmlns:vt="http://schemas.openxmlformats.org/officeDocument/2006/docPropsVTypes"/>
</file>